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1"/>
        <w:rPr>
          <w:rFonts w:hint="default" w:ascii="Times New Roman" w:hAnsi="Times New Roman" w:eastAsia="方正小标宋_GBK" w:cs="Times New Roman"/>
          <w:sz w:val="44"/>
          <w:szCs w:val="44"/>
        </w:rPr>
      </w:pPr>
      <w:bookmarkStart w:id="0" w:name="_GoBack"/>
      <w:bookmarkEnd w:id="0"/>
      <w:r>
        <w:rPr>
          <w:rStyle w:val="17"/>
          <w:rFonts w:hint="default" w:ascii="Times New Roman" w:hAnsi="Times New Roman" w:eastAsia="方正小标宋_GBK" w:cs="Times New Roman"/>
          <w:sz w:val="44"/>
          <w:szCs w:val="44"/>
          <w:lang w:eastAsia="zh-CN"/>
        </w:rPr>
        <w:t>202</w:t>
      </w:r>
      <w:r>
        <w:rPr>
          <w:rStyle w:val="17"/>
          <w:rFonts w:hint="default" w:ascii="Times New Roman" w:hAnsi="Times New Roman" w:eastAsia="方正小标宋_GBK" w:cs="Times New Roman"/>
          <w:sz w:val="44"/>
          <w:szCs w:val="44"/>
          <w:lang w:val="en-US" w:eastAsia="zh-CN"/>
        </w:rPr>
        <w:t>5</w:t>
      </w:r>
      <w:r>
        <w:rPr>
          <w:rStyle w:val="17"/>
          <w:rFonts w:hint="default" w:ascii="Times New Roman" w:hAnsi="Times New Roman" w:eastAsia="方正小标宋_GBK" w:cs="Times New Roman"/>
          <w:sz w:val="44"/>
          <w:szCs w:val="44"/>
          <w:lang w:eastAsia="zh-CN"/>
        </w:rPr>
        <w:t>年度江阴市公路绿化养护项目</w:t>
      </w:r>
      <w:r>
        <w:rPr>
          <w:rFonts w:hint="default" w:ascii="Times New Roman" w:hAnsi="Times New Roman" w:eastAsia="方正小标宋_GBK" w:cs="Times New Roman"/>
          <w:sz w:val="44"/>
          <w:szCs w:val="44"/>
        </w:rPr>
        <w:t>采购需求</w:t>
      </w:r>
    </w:p>
    <w:p>
      <w:pPr>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outlineLvl w:val="1"/>
        <w:rPr>
          <w:rFonts w:hint="eastAsia" w:ascii="Times New Roman" w:hAnsi="Times New Roman"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outlineLvl w:val="1"/>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一、项目概述：</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b w:val="0"/>
          <w:bCs/>
          <w:sz w:val="32"/>
          <w:szCs w:val="32"/>
        </w:rPr>
        <w:t>项目名称：</w:t>
      </w:r>
      <w:r>
        <w:rPr>
          <w:rFonts w:hint="eastAsia" w:ascii="Times New Roman" w:hAnsi="Times New Roman" w:eastAsia="方正仿宋_GBK" w:cs="方正仿宋_GBK"/>
          <w:sz w:val="32"/>
          <w:szCs w:val="32"/>
          <w:lang w:eastAsia="zh-CN"/>
        </w:rPr>
        <w:t>202</w:t>
      </w:r>
      <w:r>
        <w:rPr>
          <w:rFonts w:hint="eastAsia" w:ascii="Times New Roman" w:hAnsi="Times New Roman" w:eastAsia="方正仿宋_GBK" w:cs="方正仿宋_GBK"/>
          <w:sz w:val="32"/>
          <w:szCs w:val="32"/>
          <w:lang w:val="en-US" w:eastAsia="zh-CN"/>
        </w:rPr>
        <w:t>5</w:t>
      </w:r>
      <w:r>
        <w:rPr>
          <w:rFonts w:hint="eastAsia" w:ascii="Times New Roman" w:hAnsi="Times New Roman" w:eastAsia="方正仿宋_GBK" w:cs="方正仿宋_GBK"/>
          <w:sz w:val="32"/>
          <w:szCs w:val="32"/>
          <w:lang w:eastAsia="zh-CN"/>
        </w:rPr>
        <w:t>年度江阴市公路绿化养护项目</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lang w:eastAsia="zh-CN"/>
        </w:rPr>
      </w:pPr>
      <w:r>
        <w:rPr>
          <w:rFonts w:hint="eastAsia" w:ascii="Times New Roman" w:hAnsi="Times New Roman" w:eastAsia="方正仿宋_GBK" w:cs="方正仿宋_GBK"/>
          <w:b w:val="0"/>
          <w:bCs/>
          <w:sz w:val="32"/>
          <w:szCs w:val="32"/>
        </w:rPr>
        <w:t>服务期限：一年，暂定为202</w:t>
      </w:r>
      <w:r>
        <w:rPr>
          <w:rFonts w:hint="eastAsia" w:ascii="Times New Roman" w:hAnsi="Times New Roman" w:eastAsia="方正仿宋_GBK" w:cs="方正仿宋_GBK"/>
          <w:b w:val="0"/>
          <w:bCs/>
          <w:sz w:val="32"/>
          <w:szCs w:val="32"/>
          <w:lang w:val="en-US" w:eastAsia="zh-CN"/>
        </w:rPr>
        <w:t>5</w:t>
      </w:r>
      <w:r>
        <w:rPr>
          <w:rFonts w:hint="eastAsia" w:ascii="Times New Roman" w:hAnsi="Times New Roman" w:eastAsia="方正仿宋_GBK" w:cs="方正仿宋_GBK"/>
          <w:b w:val="0"/>
          <w:bCs/>
          <w:sz w:val="32"/>
          <w:szCs w:val="32"/>
        </w:rPr>
        <w:t>年</w:t>
      </w:r>
      <w:r>
        <w:rPr>
          <w:rFonts w:hint="eastAsia" w:ascii="Times New Roman" w:hAnsi="Times New Roman" w:eastAsia="方正仿宋_GBK" w:cs="方正仿宋_GBK"/>
          <w:b w:val="0"/>
          <w:bCs/>
          <w:sz w:val="32"/>
          <w:szCs w:val="32"/>
          <w:lang w:val="en-US" w:eastAsia="zh-CN"/>
        </w:rPr>
        <w:t>3</w:t>
      </w:r>
      <w:r>
        <w:rPr>
          <w:rFonts w:hint="eastAsia" w:ascii="Times New Roman" w:hAnsi="Times New Roman" w:eastAsia="方正仿宋_GBK" w:cs="方正仿宋_GBK"/>
          <w:b w:val="0"/>
          <w:bCs/>
          <w:sz w:val="32"/>
          <w:szCs w:val="32"/>
        </w:rPr>
        <w:t>月1日——202</w:t>
      </w:r>
      <w:r>
        <w:rPr>
          <w:rFonts w:hint="eastAsia" w:ascii="Times New Roman" w:hAnsi="Times New Roman" w:eastAsia="方正仿宋_GBK" w:cs="方正仿宋_GBK"/>
          <w:b w:val="0"/>
          <w:bCs/>
          <w:sz w:val="32"/>
          <w:szCs w:val="32"/>
          <w:lang w:val="en-US" w:eastAsia="zh-CN"/>
        </w:rPr>
        <w:t>6</w:t>
      </w:r>
      <w:r>
        <w:rPr>
          <w:rFonts w:hint="eastAsia" w:ascii="Times New Roman" w:hAnsi="Times New Roman" w:eastAsia="方正仿宋_GBK" w:cs="方正仿宋_GBK"/>
          <w:b w:val="0"/>
          <w:bCs/>
          <w:sz w:val="32"/>
          <w:szCs w:val="32"/>
        </w:rPr>
        <w:t>年</w:t>
      </w:r>
      <w:r>
        <w:rPr>
          <w:rFonts w:hint="eastAsia" w:ascii="Times New Roman" w:hAnsi="Times New Roman" w:eastAsia="方正仿宋_GBK" w:cs="方正仿宋_GBK"/>
          <w:b w:val="0"/>
          <w:bCs/>
          <w:sz w:val="32"/>
          <w:szCs w:val="32"/>
          <w:lang w:val="en-US" w:eastAsia="zh-CN"/>
        </w:rPr>
        <w:t>2</w:t>
      </w:r>
      <w:r>
        <w:rPr>
          <w:rFonts w:hint="eastAsia" w:ascii="Times New Roman" w:hAnsi="Times New Roman" w:eastAsia="方正仿宋_GBK" w:cs="方正仿宋_GBK"/>
          <w:b w:val="0"/>
          <w:bCs/>
          <w:sz w:val="32"/>
          <w:szCs w:val="32"/>
        </w:rPr>
        <w:t>月</w:t>
      </w:r>
      <w:r>
        <w:rPr>
          <w:rFonts w:hint="eastAsia" w:ascii="Times New Roman" w:hAnsi="Times New Roman" w:eastAsia="方正仿宋_GBK" w:cs="方正仿宋_GBK"/>
          <w:b w:val="0"/>
          <w:bCs/>
          <w:sz w:val="32"/>
          <w:szCs w:val="32"/>
          <w:lang w:val="en-US" w:eastAsia="zh-CN"/>
        </w:rPr>
        <w:t>28</w:t>
      </w:r>
      <w:r>
        <w:rPr>
          <w:rFonts w:hint="eastAsia" w:ascii="Times New Roman" w:hAnsi="Times New Roman" w:eastAsia="方正仿宋_GBK" w:cs="方正仿宋_GBK"/>
          <w:b w:val="0"/>
          <w:bCs/>
          <w:sz w:val="32"/>
          <w:szCs w:val="32"/>
        </w:rPr>
        <w:t>日，</w:t>
      </w:r>
      <w:r>
        <w:rPr>
          <w:rFonts w:hint="eastAsia" w:ascii="Times New Roman" w:hAnsi="Times New Roman" w:eastAsia="方正仿宋_GBK" w:cs="方正仿宋_GBK"/>
          <w:b w:val="0"/>
          <w:bCs/>
          <w:sz w:val="32"/>
          <w:szCs w:val="32"/>
          <w:lang w:val="en-US" w:eastAsia="zh-CN"/>
        </w:rPr>
        <w:t>最终以</w:t>
      </w:r>
      <w:r>
        <w:rPr>
          <w:rFonts w:hint="eastAsia" w:ascii="Times New Roman" w:hAnsi="Times New Roman" w:eastAsia="方正仿宋_GBK" w:cs="方正仿宋_GBK"/>
          <w:b w:val="0"/>
          <w:bCs/>
          <w:sz w:val="32"/>
          <w:szCs w:val="32"/>
        </w:rPr>
        <w:t>合同</w:t>
      </w:r>
      <w:r>
        <w:rPr>
          <w:rFonts w:hint="eastAsia" w:ascii="Times New Roman" w:hAnsi="Times New Roman" w:eastAsia="方正仿宋_GBK" w:cs="方正仿宋_GBK"/>
          <w:b w:val="0"/>
          <w:bCs/>
          <w:sz w:val="32"/>
          <w:szCs w:val="32"/>
          <w:lang w:val="en-US" w:eastAsia="zh-CN"/>
        </w:rPr>
        <w:t>为准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本项目包含</w:t>
      </w:r>
      <w:r>
        <w:rPr>
          <w:rFonts w:hint="eastAsia" w:ascii="Times New Roman" w:hAnsi="Times New Roman" w:eastAsia="方正仿宋_GBK" w:cs="方正仿宋_GBK"/>
          <w:b w:val="0"/>
          <w:bCs/>
          <w:sz w:val="32"/>
          <w:szCs w:val="32"/>
          <w:lang w:val="en-US" w:eastAsia="zh-CN"/>
        </w:rPr>
        <w:t>8</w:t>
      </w:r>
      <w:r>
        <w:rPr>
          <w:rFonts w:hint="eastAsia" w:ascii="Times New Roman" w:hAnsi="Times New Roman" w:eastAsia="方正仿宋_GBK" w:cs="方正仿宋_GBK"/>
          <w:b w:val="0"/>
          <w:bCs/>
          <w:sz w:val="32"/>
          <w:szCs w:val="32"/>
        </w:rPr>
        <w:t>个标段，每标段绿地等级、最高限价如下：</w:t>
      </w:r>
    </w:p>
    <w:tbl>
      <w:tblPr>
        <w:tblStyle w:val="13"/>
        <w:tblW w:w="9438"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 w:type="dxa"/>
          <w:bottom w:w="0" w:type="dxa"/>
          <w:right w:w="10" w:type="dxa"/>
        </w:tblCellMar>
      </w:tblPr>
      <w:tblGrid>
        <w:gridCol w:w="1141"/>
        <w:gridCol w:w="1272"/>
        <w:gridCol w:w="1054"/>
        <w:gridCol w:w="906"/>
        <w:gridCol w:w="2551"/>
        <w:gridCol w:w="702"/>
        <w:gridCol w:w="906"/>
        <w:gridCol w:w="90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tblHeader/>
          <w:jc w:val="center"/>
        </w:trPr>
        <w:tc>
          <w:tcPr>
            <w:tcW w:w="1141"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标段名称</w:t>
            </w:r>
          </w:p>
        </w:tc>
        <w:tc>
          <w:tcPr>
            <w:tcW w:w="127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路线</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养护</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面积</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单价</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最高</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限价</w:t>
            </w:r>
          </w:p>
        </w:tc>
        <w:tc>
          <w:tcPr>
            <w:tcW w:w="2551"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养护范围</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等级标准</w:t>
            </w:r>
          </w:p>
        </w:tc>
        <w:tc>
          <w:tcPr>
            <w:tcW w:w="1812" w:type="dxa"/>
            <w:gridSpan w:val="2"/>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基本人员配备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tblHeader/>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黑体_GBK" w:cs="方正黑体_GBK"/>
                <w:b w:val="0"/>
                <w:bCs/>
                <w:sz w:val="23"/>
                <w:szCs w:val="23"/>
              </w:rPr>
            </w:pPr>
          </w:p>
        </w:tc>
        <w:tc>
          <w:tcPr>
            <w:tcW w:w="127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（元）</w:t>
            </w:r>
          </w:p>
        </w:tc>
        <w:tc>
          <w:tcPr>
            <w:tcW w:w="255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黑体_GBK" w:cs="方正黑体_GBK"/>
                <w:b w:val="0"/>
                <w:bCs/>
                <w:sz w:val="23"/>
                <w:szCs w:val="23"/>
              </w:rPr>
            </w:pP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技术工（人）</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 w:val="0"/>
                <w:bCs/>
                <w:sz w:val="23"/>
                <w:szCs w:val="23"/>
              </w:rPr>
            </w:pPr>
            <w:r>
              <w:rPr>
                <w:rFonts w:hint="eastAsia" w:ascii="Times New Roman" w:hAnsi="Times New Roman" w:eastAsia="方正黑体_GBK" w:cs="方正黑体_GBK"/>
                <w:b w:val="0"/>
                <w:bCs/>
                <w:sz w:val="23"/>
                <w:szCs w:val="23"/>
              </w:rPr>
              <w:t>日常工（人）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r>
              <w:rPr>
                <w:rFonts w:hint="eastAsia" w:ascii="Times New Roman" w:hAnsi="Times New Roman" w:eastAsia="方正楷体_GBK" w:cs="方正楷体_GBK"/>
                <w:b/>
                <w:sz w:val="23"/>
                <w:szCs w:val="23"/>
              </w:rPr>
              <w:t>1、秦望山工区一标</w:t>
            </w: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江阴大道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1156751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rPr>
              <w:t>海港大道互通</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世纪大道</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eastAsia="zh-CN"/>
              </w:rPr>
            </w:pPr>
            <w:r>
              <w:rPr>
                <w:rFonts w:hint="eastAsia" w:ascii="Times New Roman" w:hAnsi="Times New Roman" w:eastAsia="方正楷体_GBK" w:cs="方正楷体_GBK"/>
                <w:sz w:val="23"/>
                <w:szCs w:val="23"/>
                <w:lang w:val="en-US" w:eastAsia="zh-CN"/>
              </w:rPr>
              <w:t>9</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eastAsia="zh-CN"/>
              </w:rPr>
            </w:pPr>
            <w:r>
              <w:rPr>
                <w:rFonts w:hint="eastAsia" w:ascii="Times New Roman" w:hAnsi="Times New Roman" w:eastAsia="方正楷体_GBK" w:cs="方正楷体_GBK"/>
                <w:sz w:val="23"/>
                <w:szCs w:val="23"/>
              </w:rPr>
              <w:t>4</w:t>
            </w:r>
            <w:r>
              <w:rPr>
                <w:rFonts w:hint="eastAsia" w:ascii="Times New Roman" w:hAnsi="Times New Roman" w:eastAsia="方正楷体_GBK" w:cs="方正楷体_GBK"/>
                <w:sz w:val="23"/>
                <w:szCs w:val="23"/>
                <w:lang w:val="en-US" w:eastAsia="zh-CN"/>
              </w:rPr>
              <w:t>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中分带</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103995</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4.4</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合计</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1260746</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eastAsia="zh-CN"/>
              </w:rPr>
            </w:pPr>
            <w:r>
              <w:rPr>
                <w:rFonts w:hint="eastAsia" w:ascii="Times New Roman" w:hAnsi="Times New Roman" w:eastAsia="方正楷体_GBK" w:cs="方正楷体_GBK"/>
                <w:sz w:val="23"/>
                <w:szCs w:val="23"/>
                <w:lang w:val="en-US" w:eastAsia="zh-CN"/>
              </w:rPr>
              <w:t>9</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eastAsia="zh-CN"/>
              </w:rPr>
            </w:pPr>
            <w:r>
              <w:rPr>
                <w:rFonts w:hint="eastAsia" w:ascii="Times New Roman" w:hAnsi="Times New Roman" w:eastAsia="方正楷体_GBK" w:cs="方正楷体_GBK"/>
                <w:sz w:val="23"/>
                <w:szCs w:val="23"/>
              </w:rPr>
              <w:t>4</w:t>
            </w:r>
            <w:r>
              <w:rPr>
                <w:rFonts w:hint="eastAsia" w:ascii="Times New Roman" w:hAnsi="Times New Roman" w:eastAsia="方正楷体_GBK" w:cs="方正楷体_GBK"/>
                <w:sz w:val="23"/>
                <w:szCs w:val="23"/>
                <w:lang w:val="en-US" w:eastAsia="zh-CN"/>
              </w:rPr>
              <w:t>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r>
              <w:rPr>
                <w:rFonts w:hint="eastAsia" w:ascii="Times New Roman" w:hAnsi="Times New Roman" w:eastAsia="方正楷体_GBK" w:cs="方正楷体_GBK"/>
                <w:b/>
                <w:sz w:val="23"/>
                <w:szCs w:val="23"/>
              </w:rPr>
              <w:t>2、秦望山工区二标</w:t>
            </w: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海港大道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715856</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滨江路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塘河大桥</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暨南大道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86139</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桐前路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暨南大道锡澄路路口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G4221青阳</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38563</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锡澄路</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锡澄路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249811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峭张线</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塘头桥</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eastAsia="zh-CN"/>
              </w:rPr>
            </w:pPr>
            <w:r>
              <w:rPr>
                <w:rFonts w:hint="eastAsia" w:ascii="Times New Roman" w:hAnsi="Times New Roman" w:eastAsia="方正楷体_GBK" w:cs="方正楷体_GBK"/>
                <w:sz w:val="23"/>
                <w:szCs w:val="23"/>
                <w:lang w:val="en-US" w:eastAsia="zh-CN"/>
              </w:rPr>
              <w:t>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水韵路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43372</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锡澄路路口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水韵大桥东桥堍</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胥林路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26102</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月城文化路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海港大道</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月双路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51941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周家庄公交站</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常州界</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中分带</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187988</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4.4</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51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合计</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1399772</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val="en-US" w:eastAsia="zh-CN"/>
              </w:rPr>
            </w:pPr>
            <w:r>
              <w:rPr>
                <w:rFonts w:hint="eastAsia" w:ascii="Times New Roman" w:hAnsi="Times New Roman" w:eastAsia="方正楷体_GBK" w:cs="方正楷体_GBK"/>
                <w:sz w:val="23"/>
                <w:szCs w:val="23"/>
                <w:lang w:val="en-US" w:eastAsia="zh-CN"/>
              </w:rPr>
              <w:t>53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r>
              <w:rPr>
                <w:rFonts w:hint="eastAsia" w:ascii="Times New Roman" w:hAnsi="Times New Roman" w:eastAsia="方正楷体_GBK" w:cs="方正楷体_GBK"/>
                <w:b/>
                <w:sz w:val="23"/>
                <w:szCs w:val="23"/>
              </w:rPr>
              <w:t>3、夏港工区一标</w:t>
            </w: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西外环路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41708</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芙蓉大道</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滨江路</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eastAsia="zh-CN"/>
              </w:rPr>
            </w:pPr>
            <w:r>
              <w:rPr>
                <w:rFonts w:hint="eastAsia" w:ascii="Times New Roman" w:hAnsi="Times New Roman" w:eastAsia="方正楷体_GBK" w:cs="方正楷体_GBK"/>
                <w:sz w:val="23"/>
                <w:szCs w:val="23"/>
                <w:lang w:val="en-US" w:eastAsia="zh-CN"/>
              </w:rPr>
              <w:t>6</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霞客大道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187547</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站西路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江阴大道</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滨江西路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244730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lang w:eastAsia="zh-CN"/>
              </w:rPr>
            </w:pPr>
            <w:r>
              <w:rPr>
                <w:rFonts w:hint="eastAsia" w:ascii="Times New Roman" w:hAnsi="Times New Roman" w:eastAsia="方正楷体_GBK" w:cs="方正楷体_GBK"/>
                <w:color w:val="auto"/>
                <w:sz w:val="23"/>
                <w:szCs w:val="23"/>
              </w:rPr>
              <w:t>西外环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海港大道</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镇澄路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47137</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西外环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海港大道</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锡澄路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130400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食品城</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峭张线</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云南路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129514</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峭花路路口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锡澄路路口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车站西路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12500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霞客大道</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锡澄线</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中分带</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14968</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4.4</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紫金路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78461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璜观桥</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lang w:val="en-US" w:eastAsia="zh-CN"/>
              </w:rPr>
              <w:t>海港大道</w:t>
            </w: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二级</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val="en-US" w:eastAsia="zh-CN"/>
              </w:rPr>
            </w:pPr>
            <w:r>
              <w:rPr>
                <w:rFonts w:hint="eastAsia" w:ascii="Times New Roman" w:hAnsi="Times New Roman" w:eastAsia="方正楷体_GBK" w:cs="方正楷体_GBK"/>
                <w:sz w:val="23"/>
                <w:szCs w:val="23"/>
                <w:lang w:val="en-US" w:eastAsia="zh-CN"/>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合计</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886965</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eastAsia="zh-CN"/>
              </w:rPr>
            </w:pPr>
            <w:r>
              <w:rPr>
                <w:rFonts w:hint="eastAsia" w:ascii="Times New Roman" w:hAnsi="Times New Roman" w:eastAsia="方正楷体_GBK" w:cs="方正楷体_GBK"/>
                <w:sz w:val="23"/>
                <w:szCs w:val="23"/>
                <w:lang w:val="en-US" w:eastAsia="zh-CN"/>
              </w:rPr>
              <w:t>6</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val="en-US" w:eastAsia="zh-CN"/>
              </w:rPr>
            </w:pPr>
            <w:r>
              <w:rPr>
                <w:rFonts w:hint="eastAsia" w:ascii="Times New Roman" w:hAnsi="Times New Roman" w:eastAsia="方正楷体_GBK" w:cs="方正楷体_GBK"/>
                <w:sz w:val="23"/>
                <w:szCs w:val="23"/>
                <w:lang w:val="en-US" w:eastAsia="zh-CN"/>
              </w:rPr>
              <w:t>31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r>
              <w:rPr>
                <w:rFonts w:hint="eastAsia" w:ascii="Times New Roman" w:hAnsi="Times New Roman" w:eastAsia="方正楷体_GBK" w:cs="方正楷体_GBK"/>
                <w:b/>
                <w:sz w:val="23"/>
                <w:szCs w:val="23"/>
              </w:rPr>
              <w:t>4、青阳工区一标</w:t>
            </w: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霞客大道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662927</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江阴大道</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惠山界</w:t>
            </w: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花峭路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134453</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云南路路口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峭岐博爱路</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峭青路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4408</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峭青路转盘雕塑</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峭南路</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峭璜路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92828</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迎宾峭璜路口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璜塘环北路</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青霞路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56215</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霞客大道路口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锡澄路</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迎宾大道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34290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长山大道路口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峭岐环北大桥</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峭张路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82300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峭岐人民路路口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锡澄路路口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暨南大道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165257</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长山大道路口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利民立交</w:t>
            </w: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马璜路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39456</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金凤南路路口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习马线</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马文路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62900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马文桥堍</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马璜路路口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外环南路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22460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金风南路路口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发电厂</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外环西路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29500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发电厂</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青璜路路口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青璜路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68368</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璜塘外环西路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霞客大道</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祝璜路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62280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长山大道路口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璜塘外环东路路口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外环西路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5434</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璜塘环北路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青璜路路口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外环北路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69042</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pacing w:val="-6"/>
                <w:sz w:val="23"/>
                <w:szCs w:val="23"/>
              </w:rPr>
              <w:t>长山大道路口</w:t>
            </w:r>
            <w:r>
              <w:rPr>
                <w:rFonts w:hint="eastAsia" w:ascii="Times New Roman" w:hAnsi="Times New Roman" w:eastAsia="方正楷体_GBK" w:cs="方正楷体_GBK"/>
                <w:color w:val="auto"/>
                <w:spacing w:val="-6"/>
                <w:sz w:val="23"/>
                <w:szCs w:val="23"/>
                <w:lang w:eastAsia="zh-CN"/>
              </w:rPr>
              <w:t>—</w:t>
            </w:r>
            <w:r>
              <w:rPr>
                <w:rFonts w:hint="eastAsia" w:ascii="Times New Roman" w:hAnsi="Times New Roman" w:eastAsia="方正楷体_GBK" w:cs="方正楷体_GBK"/>
                <w:color w:val="auto"/>
                <w:spacing w:val="-6"/>
                <w:sz w:val="23"/>
                <w:szCs w:val="23"/>
              </w:rPr>
              <w:t>G2高速口</w:t>
            </w: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中分带</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109189</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4.4</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12"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合计</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1701307</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59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r>
              <w:rPr>
                <w:rFonts w:hint="eastAsia" w:ascii="Times New Roman" w:hAnsi="Times New Roman" w:eastAsia="方正楷体_GBK" w:cs="方正楷体_GBK"/>
                <w:b/>
                <w:sz w:val="23"/>
                <w:szCs w:val="23"/>
              </w:rPr>
              <w:t>5、云亭工区一标</w:t>
            </w: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芙蓉大道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237096</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世纪大道路口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寿山立交</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13</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世纪大道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347581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芙蓉大道</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长寿路口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中分带</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127452</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4.4</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芙蓉大道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791929</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世纪大道路口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无锡苏州交界</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32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红旗路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147200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highlight w:val="none"/>
              </w:rPr>
              <w:t>澄鹿路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highlight w:val="none"/>
              </w:rPr>
              <w:t>张家港界</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澄鹿路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283060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红旗路路口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世纪大道路口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砂山路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22000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芙蓉大道</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lang w:val="en-US" w:eastAsia="zh-CN"/>
              </w:rPr>
              <w:t>长青路</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合计</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1956318</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13</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74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r>
              <w:rPr>
                <w:rFonts w:hint="eastAsia" w:ascii="Times New Roman" w:hAnsi="Times New Roman" w:eastAsia="方正楷体_GBK" w:cs="方正楷体_GBK"/>
                <w:b/>
                <w:sz w:val="23"/>
                <w:szCs w:val="23"/>
              </w:rPr>
              <w:t>6、云亭工区二标</w:t>
            </w: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长山大道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488128</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黄台桥</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暨南大道</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12</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长山大道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45600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rPr>
              <w:t>芙蓉大道路口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黄台</w:t>
            </w:r>
            <w:r>
              <w:rPr>
                <w:rFonts w:hint="eastAsia" w:ascii="Times New Roman" w:hAnsi="Times New Roman" w:eastAsia="方正楷体_GBK" w:cs="方正楷体_GBK"/>
                <w:color w:val="auto"/>
                <w:sz w:val="23"/>
                <w:szCs w:val="23"/>
                <w:lang w:val="en-US" w:eastAsia="zh-CN"/>
              </w:rPr>
              <w:t>桥</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eastAsia="zh-CN"/>
              </w:rPr>
            </w:pPr>
            <w:r>
              <w:rPr>
                <w:rFonts w:hint="eastAsia" w:ascii="Times New Roman" w:hAnsi="Times New Roman" w:eastAsia="方正楷体_GBK" w:cs="方正楷体_GBK"/>
                <w:sz w:val="23"/>
                <w:szCs w:val="23"/>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迎宾大道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113600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常合高速出入口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长山大道</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长璜路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75945</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云顾线</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长山长璜路路口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云南路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68226</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长山大道路口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峭花路路口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长寿路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12491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霞客收费站</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世纪大道</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云顾路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214000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云亭澄杨线路口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长璜线路口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花东路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2200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新石路口（北）</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新石路（南）</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车站东路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151437</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新石路口（南）</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云南路路口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中分带</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35306</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4.4</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澄鹿路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444967</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新长铁路桥东</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长山大道路口，世纪大道路口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长山大道路口</w:t>
            </w: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澄张</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连接线</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88900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人民东路转盘</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东横河桥</w:t>
            </w: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69"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合计</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1740800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12</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val="en-US" w:eastAsia="zh-CN"/>
              </w:rPr>
            </w:pPr>
            <w:r>
              <w:rPr>
                <w:rFonts w:hint="eastAsia" w:ascii="Times New Roman" w:hAnsi="Times New Roman" w:eastAsia="方正楷体_GBK" w:cs="方正楷体_GBK"/>
                <w:sz w:val="23"/>
                <w:szCs w:val="23"/>
                <w:lang w:val="en-US" w:eastAsia="zh-CN"/>
              </w:rPr>
              <w:t>59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r>
              <w:rPr>
                <w:rFonts w:hint="eastAsia" w:ascii="Times New Roman" w:hAnsi="Times New Roman" w:eastAsia="方正楷体_GBK" w:cs="方正楷体_GBK"/>
                <w:b/>
                <w:sz w:val="23"/>
                <w:szCs w:val="23"/>
              </w:rPr>
              <w:t>7、长泾工区一标</w:t>
            </w: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锡张路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246219</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lang w:eastAsia="zh-CN"/>
              </w:rPr>
            </w:pPr>
            <w:r>
              <w:rPr>
                <w:rFonts w:hint="eastAsia" w:ascii="Times New Roman" w:hAnsi="Times New Roman" w:eastAsia="方正楷体_GBK" w:cs="方正楷体_GBK"/>
                <w:color w:val="auto"/>
                <w:sz w:val="23"/>
                <w:szCs w:val="23"/>
              </w:rPr>
              <w:t>S340锡沙路路口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江阴锡山界牌处；S442苏州无锡交界（张家港）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云顾路路口</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eastAsia="zh-CN"/>
              </w:rPr>
            </w:pPr>
            <w:r>
              <w:rPr>
                <w:rFonts w:hint="eastAsia" w:ascii="Times New Roman" w:hAnsi="Times New Roman" w:eastAsia="方正楷体_GBK" w:cs="方正楷体_GBK"/>
                <w:sz w:val="23"/>
                <w:szCs w:val="23"/>
                <w:lang w:val="en-US" w:eastAsia="zh-CN"/>
              </w:rPr>
              <w:t>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云顾路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371620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益民村公交站</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苏州交界（常熟）</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新北线</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80687</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旧庄路路口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新华路路口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新华路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27340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东环路路口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陶新中路转盘</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长新大道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42900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新华路路口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阳光生态农林大门北</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东华路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154141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长新大道</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华陆路</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东华</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中分带</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11300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4.4</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环镇路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36200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潘家桥</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旧庄路</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红郁路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48700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勤丰路路口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新郁大桥</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环西路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18580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新桥南环路路口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新郁路路口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老锡张线</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18580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锡沙线南路口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国民中路路口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华陆路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118851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华陆路澄杨线路口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陆东大街北路口</w:t>
            </w: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澄鹿路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151200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红旗路路口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张家港交界</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新华路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26000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澄鹿路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长新大道</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新陆长线</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139000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陆东大街南路口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云顾线路口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华西</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收费站</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124071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收费站两侧</w:t>
            </w: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红星路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65400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highlight w:val="none"/>
              </w:rPr>
              <w:t>芙蓉大道</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highlight w:val="none"/>
              </w:rPr>
              <w:t>澄鹿路</w:t>
            </w: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425"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合计</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lang w:val="en-US" w:eastAsia="zh-CN"/>
              </w:rPr>
            </w:pPr>
            <w:r>
              <w:rPr>
                <w:rFonts w:hint="eastAsia" w:ascii="Times New Roman" w:hAnsi="Times New Roman" w:eastAsia="方正楷体_GBK" w:cs="方正楷体_GBK"/>
                <w:color w:val="auto"/>
                <w:sz w:val="23"/>
                <w:szCs w:val="23"/>
                <w:lang w:val="en-US" w:eastAsia="zh-CN"/>
              </w:rPr>
              <w:t>1680789</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lang w:val="en-US" w:eastAsia="zh-CN"/>
              </w:rPr>
            </w:pPr>
            <w:r>
              <w:rPr>
                <w:rFonts w:hint="eastAsia" w:ascii="Times New Roman" w:hAnsi="Times New Roman" w:eastAsia="方正楷体_GBK" w:cs="方正楷体_GBK"/>
                <w:sz w:val="23"/>
                <w:szCs w:val="23"/>
                <w:lang w:val="en-US" w:eastAsia="zh-CN"/>
              </w:rPr>
              <w:t>55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r>
              <w:rPr>
                <w:rFonts w:hint="eastAsia" w:ascii="Times New Roman" w:hAnsi="Times New Roman" w:eastAsia="方正楷体_GBK" w:cs="方正楷体_GBK"/>
                <w:b/>
                <w:sz w:val="23"/>
                <w:szCs w:val="23"/>
              </w:rPr>
              <w:t>8、长泾工区二标</w:t>
            </w: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祝陆路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31900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祝塘环东路</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陆桥中石化加油站</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范钱路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78980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安镇连接线起向西</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锡文路口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祝文路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127071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云顾祝文线路口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锡山交界</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马文路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25100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马文路路口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马文桥堍东</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长安大道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84887</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云顾线路口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江阴锡山界</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长安</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中分带</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34878</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4.4</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云顾路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365683</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长璜线路口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益民村公交站</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祝璜路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76120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祝璜路云顾路口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长山大道路口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暨南大道</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426601</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长山大道</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苏州无锡界</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一级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顾山</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收费站</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79515</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2.25</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暨南大道收费站出入口桥北东西两侧</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暨南</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中分带</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82138</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4.4</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勤丰路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5100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红郁路路口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陆东大街路口</w:t>
            </w:r>
          </w:p>
        </w:tc>
        <w:tc>
          <w:tcPr>
            <w:tcW w:w="702" w:type="dxa"/>
            <w:vMerge w:val="restart"/>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二级</w:t>
            </w: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陆东大街</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3160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陆东大街勤丰路路口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陆桥中石化加油站</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陆长路</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23400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lang w:val="en-US" w:eastAsia="zh-CN"/>
              </w:rPr>
              <w:t>1.8</w:t>
            </w: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陆西大街新丰路口</w:t>
            </w:r>
            <w:r>
              <w:rPr>
                <w:rFonts w:hint="eastAsia" w:ascii="Times New Roman" w:hAnsi="Times New Roman" w:eastAsia="方正楷体_GBK" w:cs="方正楷体_GBK"/>
                <w:color w:val="auto"/>
                <w:sz w:val="23"/>
                <w:szCs w:val="23"/>
                <w:lang w:eastAsia="zh-CN"/>
              </w:rPr>
              <w:t>—</w:t>
            </w:r>
            <w:r>
              <w:rPr>
                <w:rFonts w:hint="eastAsia" w:ascii="Times New Roman" w:hAnsi="Times New Roman" w:eastAsia="方正楷体_GBK" w:cs="方正楷体_GBK"/>
                <w:color w:val="auto"/>
                <w:sz w:val="23"/>
                <w:szCs w:val="23"/>
              </w:rPr>
              <w:t>云顾路口</w:t>
            </w:r>
          </w:p>
        </w:tc>
        <w:tc>
          <w:tcPr>
            <w:tcW w:w="702"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 w:type="dxa"/>
            <w:bottom w:w="0" w:type="dxa"/>
            <w:right w:w="10" w:type="dxa"/>
          </w:tblCellMar>
        </w:tblPrEx>
        <w:trPr>
          <w:trHeight w:val="340" w:hRule="atLeast"/>
          <w:jc w:val="center"/>
        </w:trPr>
        <w:tc>
          <w:tcPr>
            <w:tcW w:w="1141" w:type="dxa"/>
            <w:vMerge w:val="continue"/>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b/>
                <w:sz w:val="23"/>
                <w:szCs w:val="23"/>
              </w:rPr>
            </w:pPr>
          </w:p>
        </w:tc>
        <w:tc>
          <w:tcPr>
            <w:tcW w:w="127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合计</w:t>
            </w:r>
          </w:p>
        </w:tc>
        <w:tc>
          <w:tcPr>
            <w:tcW w:w="1054"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r>
              <w:rPr>
                <w:rFonts w:hint="eastAsia" w:ascii="Times New Roman" w:hAnsi="Times New Roman" w:eastAsia="方正楷体_GBK" w:cs="方正楷体_GBK"/>
                <w:color w:val="auto"/>
                <w:sz w:val="23"/>
                <w:szCs w:val="23"/>
              </w:rPr>
              <w:t>1444533</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2551"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auto"/>
                <w:sz w:val="23"/>
                <w:szCs w:val="23"/>
              </w:rPr>
            </w:pPr>
          </w:p>
        </w:tc>
        <w:tc>
          <w:tcPr>
            <w:tcW w:w="702"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auto"/>
                <w:sz w:val="23"/>
                <w:szCs w:val="23"/>
              </w:rPr>
            </w:pP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10</w:t>
            </w:r>
          </w:p>
        </w:tc>
        <w:tc>
          <w:tcPr>
            <w:tcW w:w="906" w:type="dxa"/>
            <w:tcBorders>
              <w:tl2br w:val="nil"/>
              <w:tr2bl w:val="nil"/>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sz w:val="23"/>
                <w:szCs w:val="23"/>
              </w:rPr>
            </w:pPr>
            <w:r>
              <w:rPr>
                <w:rFonts w:hint="eastAsia" w:ascii="Times New Roman" w:hAnsi="Times New Roman" w:eastAsia="方正楷体_GBK" w:cs="方正楷体_GBK"/>
                <w:sz w:val="23"/>
                <w:szCs w:val="23"/>
              </w:rPr>
              <w:t>52</w:t>
            </w:r>
          </w:p>
        </w:tc>
      </w:tr>
    </w:tbl>
    <w:p>
      <w:pPr>
        <w:spacing w:line="400" w:lineRule="exact"/>
        <w:ind w:left="0" w:leftChars="0" w:right="-1340" w:rightChars="-444" w:firstLine="0" w:firstLineChars="0"/>
        <w:jc w:val="both"/>
        <w:rPr>
          <w:rFonts w:hint="eastAsia" w:ascii="Times New Roman" w:hAnsi="Times New Roman" w:eastAsia="方正黑体_GBK" w:cs="方正黑体_GBK"/>
          <w:b w:val="0"/>
          <w:bCs/>
          <w:color w:val="auto"/>
          <w:sz w:val="24"/>
        </w:rPr>
      </w:pPr>
      <w:r>
        <w:rPr>
          <w:rFonts w:hint="eastAsia" w:ascii="Times New Roman" w:hAnsi="Times New Roman" w:eastAsia="方正黑体_GBK" w:cs="方正黑体_GBK"/>
          <w:b w:val="0"/>
          <w:bCs/>
          <w:color w:val="auto"/>
          <w:sz w:val="24"/>
        </w:rPr>
        <w:t>备注：</w:t>
      </w:r>
    </w:p>
    <w:p>
      <w:pPr>
        <w:keepNext w:val="0"/>
        <w:keepLines w:val="0"/>
        <w:pageBreakBefore w:val="0"/>
        <w:widowControl w:val="0"/>
        <w:kinsoku/>
        <w:wordWrap/>
        <w:overflowPunct/>
        <w:topLinePunct w:val="0"/>
        <w:autoSpaceDE/>
        <w:autoSpaceDN/>
        <w:bidi w:val="0"/>
        <w:adjustRightInd/>
        <w:snapToGrid/>
        <w:spacing w:line="400" w:lineRule="exact"/>
        <w:ind w:firstLine="444" w:firstLineChars="200"/>
        <w:jc w:val="both"/>
        <w:textAlignment w:val="auto"/>
        <w:rPr>
          <w:rFonts w:hint="eastAsia" w:ascii="Times New Roman" w:hAnsi="Times New Roman" w:eastAsia="方正楷体_GBK" w:cs="方正楷体_GBK"/>
          <w:color w:val="auto"/>
          <w:sz w:val="24"/>
          <w:szCs w:val="24"/>
          <w:lang w:val="en-US" w:eastAsia="zh-CN"/>
        </w:rPr>
      </w:pPr>
      <w:r>
        <w:rPr>
          <w:rFonts w:hint="eastAsia" w:ascii="Times New Roman" w:hAnsi="Times New Roman" w:eastAsia="方正楷体_GBK" w:cs="方正楷体_GBK"/>
          <w:color w:val="auto"/>
          <w:sz w:val="24"/>
          <w:szCs w:val="24"/>
          <w:lang w:val="en-US" w:eastAsia="zh-CN"/>
        </w:rPr>
        <w:t>基本人员配备标准：一级绿地25000㎡/人，二级绿地30000㎡/人，中分带30000㎡/人；其中技术工150000㎡/人。标段清单基本人员配备中工人数量包含技术工。</w:t>
      </w:r>
    </w:p>
    <w:p>
      <w:pPr>
        <w:keepNext w:val="0"/>
        <w:keepLines w:val="0"/>
        <w:pageBreakBefore w:val="0"/>
        <w:widowControl w:val="0"/>
        <w:kinsoku/>
        <w:wordWrap/>
        <w:overflowPunct/>
        <w:topLinePunct w:val="0"/>
        <w:autoSpaceDE/>
        <w:autoSpaceDN/>
        <w:bidi w:val="0"/>
        <w:adjustRightInd/>
        <w:snapToGrid/>
        <w:spacing w:line="400" w:lineRule="exact"/>
        <w:ind w:firstLine="444" w:firstLineChars="200"/>
        <w:jc w:val="both"/>
        <w:textAlignment w:val="auto"/>
        <w:rPr>
          <w:rFonts w:hint="eastAsia" w:ascii="Times New Roman" w:hAnsi="Times New Roman" w:eastAsia="方正楷体_GBK" w:cs="方正楷体_GBK"/>
          <w:color w:val="auto"/>
          <w:sz w:val="24"/>
          <w:szCs w:val="24"/>
        </w:rPr>
      </w:pPr>
      <w:r>
        <w:rPr>
          <w:rFonts w:hint="eastAsia" w:ascii="Times New Roman" w:hAnsi="Times New Roman" w:eastAsia="方正楷体_GBK" w:cs="方正楷体_GBK"/>
          <w:color w:val="auto"/>
          <w:sz w:val="24"/>
          <w:szCs w:val="24"/>
        </w:rPr>
        <w:t>该清单面积及数量仅为招标时面积及数量</w:t>
      </w:r>
      <w:r>
        <w:rPr>
          <w:rFonts w:hint="eastAsia" w:ascii="Times New Roman" w:hAnsi="Times New Roman" w:eastAsia="方正楷体_GBK" w:cs="方正楷体_GBK"/>
          <w:color w:val="auto"/>
          <w:sz w:val="24"/>
          <w:szCs w:val="24"/>
          <w:lang w:eastAsia="zh-CN"/>
        </w:rPr>
        <w:t>，</w:t>
      </w:r>
      <w:r>
        <w:rPr>
          <w:rFonts w:hint="eastAsia" w:ascii="Times New Roman" w:hAnsi="Times New Roman" w:eastAsia="方正楷体_GBK" w:cs="方正楷体_GBK"/>
          <w:color w:val="auto"/>
          <w:sz w:val="24"/>
          <w:szCs w:val="24"/>
        </w:rPr>
        <w:t>中标单位须配合甲方确定最终移交清单数据。现场实际移交数量与清单如有误差，以现场</w:t>
      </w:r>
      <w:r>
        <w:rPr>
          <w:rFonts w:hint="eastAsia" w:ascii="Times New Roman" w:hAnsi="Times New Roman" w:eastAsia="方正楷体_GBK" w:cs="方正楷体_GBK"/>
          <w:color w:val="auto"/>
          <w:sz w:val="24"/>
          <w:szCs w:val="24"/>
          <w:lang w:val="en-US" w:eastAsia="zh-CN"/>
        </w:rPr>
        <w:t>实际</w:t>
      </w:r>
      <w:r>
        <w:rPr>
          <w:rFonts w:hint="eastAsia" w:ascii="Times New Roman" w:hAnsi="Times New Roman" w:eastAsia="方正楷体_GBK" w:cs="方正楷体_GBK"/>
          <w:color w:val="auto"/>
          <w:sz w:val="24"/>
          <w:szCs w:val="24"/>
        </w:rPr>
        <w:t>为准，综合单价及优惠率不</w:t>
      </w:r>
      <w:r>
        <w:rPr>
          <w:rFonts w:hint="eastAsia" w:ascii="Times New Roman" w:hAnsi="Times New Roman" w:eastAsia="方正楷体_GBK" w:cs="方正楷体_GBK"/>
          <w:color w:val="auto"/>
          <w:sz w:val="24"/>
          <w:szCs w:val="24"/>
          <w:lang w:eastAsia="zh-CN"/>
        </w:rPr>
        <w:t>做</w:t>
      </w:r>
      <w:r>
        <w:rPr>
          <w:rFonts w:hint="eastAsia" w:ascii="Times New Roman" w:hAnsi="Times New Roman" w:eastAsia="方正楷体_GBK" w:cs="方正楷体_GBK"/>
          <w:color w:val="auto"/>
          <w:sz w:val="24"/>
          <w:szCs w:val="24"/>
        </w:rPr>
        <w:t>调整，请投标单位在投标报价中考虑此因素。</w:t>
      </w:r>
    </w:p>
    <w:p>
      <w:pPr>
        <w:keepNext w:val="0"/>
        <w:keepLines w:val="0"/>
        <w:pageBreakBefore w:val="0"/>
        <w:widowControl w:val="0"/>
        <w:kinsoku/>
        <w:wordWrap/>
        <w:overflowPunct/>
        <w:topLinePunct w:val="0"/>
        <w:autoSpaceDE/>
        <w:autoSpaceDN/>
        <w:bidi w:val="0"/>
        <w:adjustRightInd/>
        <w:snapToGrid/>
        <w:spacing w:line="400" w:lineRule="exact"/>
        <w:ind w:firstLine="444" w:firstLineChars="200"/>
        <w:jc w:val="both"/>
        <w:textAlignment w:val="auto"/>
        <w:rPr>
          <w:rFonts w:hint="eastAsia" w:ascii="Times New Roman" w:hAnsi="Times New Roman" w:eastAsia="方正楷体_GBK" w:cs="方正楷体_GBK"/>
          <w:color w:val="auto"/>
          <w:sz w:val="24"/>
          <w:szCs w:val="24"/>
        </w:rPr>
      </w:pPr>
      <w:r>
        <w:rPr>
          <w:rFonts w:hint="eastAsia" w:ascii="Times New Roman" w:hAnsi="Times New Roman" w:eastAsia="方正楷体_GBK" w:cs="方正楷体_GBK"/>
          <w:color w:val="auto"/>
          <w:sz w:val="24"/>
          <w:szCs w:val="24"/>
          <w:lang w:val="en-US" w:eastAsia="zh-CN"/>
        </w:rPr>
        <w:t>3</w:t>
      </w:r>
      <w:r>
        <w:rPr>
          <w:rFonts w:hint="eastAsia" w:ascii="Times New Roman" w:hAnsi="Times New Roman" w:eastAsia="方正楷体_GBK" w:cs="方正楷体_GBK"/>
          <w:color w:val="auto"/>
          <w:sz w:val="24"/>
          <w:szCs w:val="24"/>
        </w:rPr>
        <w:t>、</w:t>
      </w:r>
      <w:r>
        <w:rPr>
          <w:rFonts w:hint="eastAsia" w:ascii="Times New Roman" w:hAnsi="Times New Roman" w:eastAsia="方正楷体_GBK" w:cs="方正楷体_GBK"/>
          <w:color w:val="auto"/>
          <w:sz w:val="24"/>
          <w:szCs w:val="24"/>
          <w:lang w:val="en-US" w:eastAsia="zh-CN"/>
        </w:rPr>
        <w:t>中</w:t>
      </w:r>
      <w:r>
        <w:rPr>
          <w:rFonts w:hint="eastAsia" w:ascii="Times New Roman" w:hAnsi="Times New Roman" w:eastAsia="方正楷体_GBK" w:cs="方正楷体_GBK"/>
          <w:color w:val="auto"/>
          <w:sz w:val="24"/>
          <w:szCs w:val="24"/>
        </w:rPr>
        <w:t>标单位须根据甲方安排每年对绿地进行补植</w:t>
      </w:r>
      <w:r>
        <w:rPr>
          <w:rFonts w:hint="eastAsia" w:ascii="Times New Roman" w:hAnsi="Times New Roman" w:eastAsia="方正楷体_GBK" w:cs="方正楷体_GBK"/>
          <w:color w:val="auto"/>
          <w:sz w:val="24"/>
          <w:szCs w:val="24"/>
          <w:lang w:val="en-US" w:eastAsia="zh-CN"/>
        </w:rPr>
        <w:t>提升</w:t>
      </w:r>
      <w:r>
        <w:rPr>
          <w:rFonts w:hint="eastAsia" w:ascii="Times New Roman" w:hAnsi="Times New Roman" w:eastAsia="方正楷体_GBK" w:cs="方正楷体_GBK"/>
          <w:color w:val="auto"/>
          <w:sz w:val="24"/>
          <w:szCs w:val="24"/>
        </w:rPr>
        <w:t>，费用在报价中自行考虑，每年补植</w:t>
      </w:r>
      <w:r>
        <w:rPr>
          <w:rFonts w:hint="eastAsia" w:ascii="Times New Roman" w:hAnsi="Times New Roman" w:eastAsia="方正楷体_GBK" w:cs="方正楷体_GBK"/>
          <w:color w:val="auto"/>
          <w:sz w:val="24"/>
          <w:szCs w:val="24"/>
          <w:lang w:val="en-US" w:eastAsia="zh-CN"/>
        </w:rPr>
        <w:t>提升</w:t>
      </w:r>
      <w:r>
        <w:rPr>
          <w:rFonts w:hint="eastAsia" w:ascii="Times New Roman" w:hAnsi="Times New Roman" w:eastAsia="方正楷体_GBK" w:cs="方正楷体_GBK"/>
          <w:color w:val="auto"/>
          <w:sz w:val="24"/>
          <w:szCs w:val="24"/>
        </w:rPr>
        <w:t>费用</w:t>
      </w:r>
      <w:r>
        <w:rPr>
          <w:rFonts w:hint="eastAsia" w:ascii="Times New Roman" w:hAnsi="Times New Roman" w:eastAsia="方正楷体_GBK" w:cs="方正楷体_GBK"/>
          <w:color w:val="auto"/>
          <w:sz w:val="24"/>
          <w:szCs w:val="24"/>
          <w:lang w:eastAsia="zh-CN"/>
        </w:rPr>
        <w:t>为</w:t>
      </w:r>
      <w:r>
        <w:rPr>
          <w:rFonts w:hint="eastAsia" w:ascii="Times New Roman" w:hAnsi="Times New Roman" w:eastAsia="方正楷体_GBK" w:cs="方正楷体_GBK"/>
          <w:color w:val="auto"/>
          <w:sz w:val="24"/>
          <w:szCs w:val="24"/>
        </w:rPr>
        <w:t>各标段控制价的</w:t>
      </w:r>
      <w:r>
        <w:rPr>
          <w:rFonts w:hint="eastAsia" w:ascii="Times New Roman" w:hAnsi="Times New Roman" w:eastAsia="方正楷体_GBK" w:cs="方正楷体_GBK"/>
          <w:color w:val="auto"/>
          <w:sz w:val="24"/>
          <w:szCs w:val="24"/>
          <w:lang w:val="en-US" w:eastAsia="zh-CN"/>
        </w:rPr>
        <w:t xml:space="preserve">15 </w:t>
      </w:r>
      <w:r>
        <w:rPr>
          <w:rFonts w:hint="eastAsia" w:ascii="Times New Roman" w:hAnsi="Times New Roman" w:eastAsia="方正楷体_GBK" w:cs="方正楷体_GBK"/>
          <w:color w:val="auto"/>
          <w:sz w:val="24"/>
          <w:szCs w:val="24"/>
        </w:rPr>
        <w:t>%（补植</w:t>
      </w:r>
      <w:r>
        <w:rPr>
          <w:rFonts w:hint="eastAsia" w:ascii="Times New Roman" w:hAnsi="Times New Roman" w:eastAsia="方正楷体_GBK" w:cs="方正楷体_GBK"/>
          <w:color w:val="auto"/>
          <w:sz w:val="24"/>
          <w:szCs w:val="24"/>
          <w:lang w:val="en-US" w:eastAsia="zh-CN"/>
        </w:rPr>
        <w:t>提升</w:t>
      </w:r>
      <w:r>
        <w:rPr>
          <w:rFonts w:hint="eastAsia" w:ascii="Times New Roman" w:hAnsi="Times New Roman" w:eastAsia="方正楷体_GBK" w:cs="方正楷体_GBK"/>
          <w:color w:val="auto"/>
          <w:sz w:val="24"/>
          <w:szCs w:val="24"/>
        </w:rPr>
        <w:t>费用以江阴市当期苗木指导价、相关定额套取，根据中标折扣同比例让利审定</w:t>
      </w:r>
      <w:r>
        <w:rPr>
          <w:rFonts w:hint="eastAsia" w:ascii="Times New Roman" w:hAnsi="Times New Roman" w:eastAsia="方正楷体_GBK" w:cs="方正楷体_GBK"/>
          <w:color w:val="auto"/>
          <w:sz w:val="24"/>
          <w:szCs w:val="24"/>
          <w:lang w:eastAsia="zh-CN"/>
        </w:rPr>
        <w:t>，审定价与各标段控制价</w:t>
      </w:r>
      <w:r>
        <w:rPr>
          <w:rFonts w:hint="eastAsia" w:ascii="Times New Roman" w:hAnsi="Times New Roman" w:eastAsia="方正楷体_GBK" w:cs="方正楷体_GBK"/>
          <w:color w:val="auto"/>
          <w:sz w:val="24"/>
          <w:szCs w:val="24"/>
          <w:lang w:val="en-US" w:eastAsia="zh-CN"/>
        </w:rPr>
        <w:t>15%的</w:t>
      </w:r>
      <w:r>
        <w:rPr>
          <w:rFonts w:hint="eastAsia" w:ascii="Times New Roman" w:hAnsi="Times New Roman" w:eastAsia="方正楷体_GBK" w:cs="方正楷体_GBK"/>
          <w:color w:val="auto"/>
          <w:sz w:val="24"/>
          <w:szCs w:val="24"/>
          <w:lang w:eastAsia="zh-CN"/>
        </w:rPr>
        <w:t>差额部分直接在</w:t>
      </w:r>
      <w:r>
        <w:rPr>
          <w:rFonts w:hint="eastAsia" w:ascii="Times New Roman" w:hAnsi="Times New Roman" w:eastAsia="方正楷体_GBK" w:cs="方正楷体_GBK"/>
          <w:color w:val="auto"/>
          <w:sz w:val="24"/>
          <w:szCs w:val="24"/>
          <w:lang w:val="en-US" w:eastAsia="zh-CN"/>
        </w:rPr>
        <w:t>养护费中扣除</w:t>
      </w:r>
      <w:r>
        <w:rPr>
          <w:rFonts w:hint="eastAsia" w:ascii="Times New Roman" w:hAnsi="Times New Roman" w:eastAsia="方正楷体_GBK" w:cs="方正楷体_GBK"/>
          <w:color w:val="auto"/>
          <w:sz w:val="24"/>
          <w:szCs w:val="24"/>
        </w:rPr>
        <w:t>）。因养护不到位等原因造成的苗木损失由投标单位承担并限期原样恢复，相关费用在报价中自行考虑，不另外增加费用。</w:t>
      </w:r>
      <w:r>
        <w:rPr>
          <w:rFonts w:hint="eastAsia" w:ascii="Times New Roman" w:hAnsi="Times New Roman" w:eastAsia="方正楷体_GBK" w:cs="方正楷体_GBK"/>
          <w:color w:val="auto"/>
          <w:sz w:val="24"/>
          <w:szCs w:val="24"/>
          <w:lang w:eastAsia="zh-CN"/>
        </w:rPr>
        <w:t>确保</w:t>
      </w:r>
      <w:r>
        <w:rPr>
          <w:rFonts w:hint="eastAsia" w:ascii="Times New Roman" w:hAnsi="Times New Roman" w:eastAsia="方正楷体_GBK" w:cs="方正楷体_GBK"/>
          <w:color w:val="auto"/>
          <w:sz w:val="24"/>
          <w:szCs w:val="24"/>
        </w:rPr>
        <w:t>现有绿地完整率和</w:t>
      </w:r>
      <w:r>
        <w:rPr>
          <w:rFonts w:hint="eastAsia" w:ascii="Times New Roman" w:hAnsi="Times New Roman" w:eastAsia="方正楷体_GBK" w:cs="方正楷体_GBK"/>
          <w:color w:val="auto"/>
          <w:sz w:val="24"/>
          <w:szCs w:val="24"/>
          <w:lang w:eastAsia="zh-CN"/>
        </w:rPr>
        <w:t>补植提升</w:t>
      </w:r>
      <w:r>
        <w:rPr>
          <w:rFonts w:hint="eastAsia" w:ascii="Times New Roman" w:hAnsi="Times New Roman" w:eastAsia="方正楷体_GBK" w:cs="方正楷体_GBK"/>
          <w:color w:val="auto"/>
          <w:sz w:val="24"/>
          <w:szCs w:val="24"/>
        </w:rPr>
        <w:t>100%成活率要求。投标单位根据要求充分踏勘现场并综合考虑补植风险后报价。</w:t>
      </w:r>
    </w:p>
    <w:p>
      <w:pPr>
        <w:keepNext w:val="0"/>
        <w:keepLines w:val="0"/>
        <w:pageBreakBefore w:val="0"/>
        <w:widowControl w:val="0"/>
        <w:kinsoku/>
        <w:wordWrap/>
        <w:overflowPunct/>
        <w:topLinePunct w:val="0"/>
        <w:autoSpaceDE/>
        <w:autoSpaceDN/>
        <w:bidi w:val="0"/>
        <w:adjustRightInd/>
        <w:snapToGrid/>
        <w:spacing w:line="400" w:lineRule="exact"/>
        <w:ind w:firstLine="444" w:firstLineChars="200"/>
        <w:jc w:val="both"/>
        <w:textAlignment w:val="auto"/>
        <w:rPr>
          <w:rFonts w:hint="eastAsia" w:ascii="Times New Roman" w:hAnsi="Times New Roman" w:eastAsia="方正楷体_GBK" w:cs="方正楷体_GBK"/>
          <w:color w:val="auto"/>
          <w:sz w:val="24"/>
          <w:szCs w:val="24"/>
        </w:rPr>
      </w:pPr>
      <w:r>
        <w:rPr>
          <w:rFonts w:hint="eastAsia" w:ascii="Times New Roman" w:hAnsi="Times New Roman" w:eastAsia="方正楷体_GBK" w:cs="方正楷体_GBK"/>
          <w:color w:val="auto"/>
          <w:sz w:val="24"/>
          <w:szCs w:val="24"/>
          <w:lang w:val="en-US" w:eastAsia="zh-CN"/>
        </w:rPr>
        <w:t>4</w:t>
      </w:r>
      <w:r>
        <w:rPr>
          <w:rFonts w:hint="eastAsia" w:ascii="Times New Roman" w:hAnsi="Times New Roman" w:eastAsia="方正楷体_GBK" w:cs="方正楷体_GBK"/>
          <w:color w:val="auto"/>
          <w:sz w:val="24"/>
          <w:szCs w:val="24"/>
        </w:rPr>
        <w:t>、报价应包括但不仅限于人工费用；机械设备工具使用维保费用；材料（涂白、施肥、追播黑麦草等）费用；苗木补植费用；</w:t>
      </w:r>
      <w:r>
        <w:rPr>
          <w:rFonts w:hint="eastAsia" w:ascii="Times New Roman" w:hAnsi="Times New Roman" w:eastAsia="方正楷体_GBK" w:cs="方正楷体_GBK"/>
          <w:color w:val="auto"/>
          <w:sz w:val="24"/>
          <w:szCs w:val="24"/>
          <w:lang w:val="en-US" w:eastAsia="zh-CN"/>
        </w:rPr>
        <w:t>园路铺装、花坛等</w:t>
      </w:r>
      <w:r>
        <w:rPr>
          <w:rFonts w:hint="eastAsia" w:ascii="Times New Roman" w:hAnsi="Times New Roman" w:eastAsia="方正楷体_GBK" w:cs="方正楷体_GBK"/>
          <w:color w:val="auto"/>
          <w:sz w:val="24"/>
          <w:szCs w:val="24"/>
        </w:rPr>
        <w:t>维保费用；投诉处理、应急抢险、交通安全整改等处置费用；水生植物、水草（浮萍）清理费用；养护人员购买意外保险费用；防撞车、锥形桶，施工告示牌等安全生产措施费用；其他绿化养护</w:t>
      </w:r>
      <w:r>
        <w:rPr>
          <w:rFonts w:hint="eastAsia" w:ascii="Times New Roman" w:hAnsi="Times New Roman" w:eastAsia="方正楷体_GBK" w:cs="方正楷体_GBK"/>
          <w:color w:val="auto"/>
          <w:sz w:val="24"/>
          <w:szCs w:val="24"/>
          <w:lang w:eastAsia="zh-CN"/>
        </w:rPr>
        <w:t>涉及的</w:t>
      </w:r>
      <w:r>
        <w:rPr>
          <w:rFonts w:hint="eastAsia" w:ascii="Times New Roman" w:hAnsi="Times New Roman" w:eastAsia="方正楷体_GBK" w:cs="方正楷体_GBK"/>
          <w:color w:val="auto"/>
          <w:sz w:val="24"/>
          <w:szCs w:val="24"/>
        </w:rPr>
        <w:t>相关费用、利润、税金、政策性文件规定及合同包含的所有风险、责任等各项费用。</w:t>
      </w:r>
    </w:p>
    <w:p>
      <w:pPr>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outlineLvl w:val="1"/>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lang w:val="en-US" w:eastAsia="zh-CN"/>
        </w:rPr>
        <w:t>二</w:t>
      </w:r>
      <w:r>
        <w:rPr>
          <w:rFonts w:hint="eastAsia" w:ascii="Times New Roman" w:hAnsi="Times New Roman" w:eastAsia="方正黑体_GBK" w:cs="方正黑体_GBK"/>
          <w:sz w:val="32"/>
          <w:szCs w:val="32"/>
        </w:rPr>
        <w:t>、养护基本要求：</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楷体_GBK" w:cs="方正楷体_GBK"/>
          <w:b/>
          <w:bCs w:val="0"/>
          <w:sz w:val="32"/>
          <w:szCs w:val="32"/>
        </w:rPr>
      </w:pPr>
      <w:r>
        <w:rPr>
          <w:rFonts w:hint="eastAsia" w:ascii="Times New Roman" w:hAnsi="Times New Roman" w:eastAsia="方正楷体_GBK" w:cs="方正楷体_GBK"/>
          <w:b/>
          <w:bCs w:val="0"/>
          <w:sz w:val="32"/>
          <w:szCs w:val="32"/>
        </w:rPr>
        <w:t>（一）养护项目日常管理主要内容</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1、日常管理（主要包括保洁除杂、中耕除草、树穴整理、切边、绿地深翻、树木倾斜扶正、支撑整理等）；</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2、修剪工作（色块、花灌木、绿篱、草坪、球类、乔木等修剪工作及抹芽工作）；</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3、水分管理（浇水灌溉、抗旱、排涝、冬灌）；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4、病虫害防治（病虫害预测预报、人工防治、药剂防治、补洞等）；</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5、绿地保护、巡视工作（主要指对绿地无手续开挖、破坏、侵占等事件及时发现、阻止、取证、上报、跟踪处理结果等）；</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lang w:eastAsia="zh-CN"/>
        </w:rPr>
      </w:pPr>
      <w:r>
        <w:rPr>
          <w:rFonts w:hint="eastAsia" w:ascii="Times New Roman" w:hAnsi="Times New Roman" w:eastAsia="方正仿宋_GBK" w:cs="方正仿宋_GBK"/>
          <w:b w:val="0"/>
          <w:bCs/>
          <w:sz w:val="32"/>
          <w:szCs w:val="32"/>
        </w:rPr>
        <w:t>6、设备设施的监管工作：对管辖绿地内的设施设备、园路、景墙等园林设施的损坏情况及时发现问题并汇报。保证设施设备完好率100%</w:t>
      </w:r>
      <w:r>
        <w:rPr>
          <w:rFonts w:hint="eastAsia" w:ascii="Times New Roman" w:hAnsi="Times New Roman" w:eastAsia="方正仿宋_GBK" w:cs="方正仿宋_GBK"/>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7、养护工作中的各项协调工作；</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8、各类生产计划、养护台账的制订、归类、上交和整理工作；</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lang w:eastAsia="zh-CN"/>
        </w:rPr>
      </w:pPr>
      <w:r>
        <w:rPr>
          <w:rFonts w:hint="eastAsia" w:ascii="Times New Roman" w:hAnsi="Times New Roman" w:eastAsia="方正仿宋_GBK" w:cs="方正仿宋_GBK"/>
          <w:b w:val="0"/>
          <w:bCs/>
          <w:sz w:val="32"/>
          <w:szCs w:val="32"/>
        </w:rPr>
        <w:t>9、配合做好养护范围内的绿化碰线修剪工作，配合做好开挖移植工作</w:t>
      </w:r>
      <w:r>
        <w:rPr>
          <w:rFonts w:hint="eastAsia" w:ascii="Times New Roman" w:hAnsi="Times New Roman" w:eastAsia="方正仿宋_GBK" w:cs="方正仿宋_GBK"/>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lang w:val="en-US" w:eastAsia="zh-CN"/>
        </w:rPr>
        <w:t>10、各类应急抢险处置工作。</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楷体_GBK" w:cs="方正楷体_GBK"/>
          <w:b/>
          <w:bCs w:val="0"/>
          <w:sz w:val="32"/>
          <w:szCs w:val="32"/>
        </w:rPr>
      </w:pPr>
      <w:r>
        <w:rPr>
          <w:rFonts w:hint="eastAsia" w:ascii="Times New Roman" w:hAnsi="Times New Roman" w:eastAsia="方正楷体_GBK" w:cs="方正楷体_GBK"/>
          <w:b/>
          <w:bCs w:val="0"/>
          <w:sz w:val="32"/>
          <w:szCs w:val="32"/>
        </w:rPr>
        <w:t>（二）养护项目主要专项工作</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lang w:eastAsia="zh-CN"/>
        </w:rPr>
      </w:pPr>
      <w:r>
        <w:rPr>
          <w:rFonts w:hint="eastAsia" w:ascii="Times New Roman" w:hAnsi="Times New Roman" w:eastAsia="方正仿宋_GBK" w:cs="方正仿宋_GBK"/>
          <w:b w:val="0"/>
          <w:bCs/>
          <w:sz w:val="32"/>
          <w:szCs w:val="32"/>
        </w:rPr>
        <w:t>1、做好绿地补植工作，保证绿地完整率100%，苗木成活率100%</w:t>
      </w:r>
      <w:r>
        <w:rPr>
          <w:rFonts w:hint="eastAsia" w:ascii="Times New Roman" w:hAnsi="Times New Roman" w:eastAsia="方正仿宋_GBK" w:cs="方正仿宋_GBK"/>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2、涂白工作；</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3、施肥工作；</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4、追播黑麦草籽及其管理工作；</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lang w:eastAsia="zh-CN"/>
        </w:rPr>
      </w:pPr>
      <w:r>
        <w:rPr>
          <w:rFonts w:hint="eastAsia" w:ascii="Times New Roman" w:hAnsi="Times New Roman" w:eastAsia="方正仿宋_GBK" w:cs="方正仿宋_GBK"/>
          <w:b w:val="0"/>
          <w:bCs/>
          <w:sz w:val="32"/>
          <w:szCs w:val="32"/>
        </w:rPr>
        <w:t>5、做好绿地内生物量普查、统计更新工作</w:t>
      </w:r>
      <w:r>
        <w:rPr>
          <w:rFonts w:hint="eastAsia" w:ascii="Times New Roman" w:hAnsi="Times New Roman" w:eastAsia="方正仿宋_GBK" w:cs="方正仿宋_GBK"/>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default" w:ascii="Times New Roman" w:hAnsi="Times New Roman" w:eastAsia="方正仿宋_GBK" w:cs="方正仿宋_GBK"/>
          <w:b w:val="0"/>
          <w:bCs/>
          <w:sz w:val="32"/>
          <w:szCs w:val="32"/>
          <w:lang w:val="en-US" w:eastAsia="zh-CN"/>
        </w:rPr>
      </w:pPr>
      <w:r>
        <w:rPr>
          <w:rFonts w:hint="eastAsia" w:ascii="Times New Roman" w:hAnsi="Times New Roman" w:eastAsia="方正仿宋_GBK" w:cs="方正仿宋_GBK"/>
          <w:b w:val="0"/>
          <w:bCs/>
          <w:sz w:val="32"/>
          <w:szCs w:val="32"/>
          <w:lang w:val="en-US" w:eastAsia="zh-CN"/>
        </w:rPr>
        <w:t>6、园林废弃物综合处置再利用工作。</w:t>
      </w:r>
    </w:p>
    <w:p>
      <w:pPr>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outlineLvl w:val="1"/>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lang w:val="en-US" w:eastAsia="zh-CN"/>
        </w:rPr>
        <w:t>三</w:t>
      </w:r>
      <w:r>
        <w:rPr>
          <w:rFonts w:hint="eastAsia" w:ascii="Times New Roman" w:hAnsi="Times New Roman" w:eastAsia="方正黑体_GBK" w:cs="方正黑体_GBK"/>
          <w:sz w:val="32"/>
          <w:szCs w:val="32"/>
        </w:rPr>
        <w:t>、绿化养护考核办法：</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按照《江阴市公路绿化养护考核办法（试行）》</w:t>
      </w:r>
      <w:r>
        <w:rPr>
          <w:rFonts w:hint="eastAsia" w:ascii="Times New Roman" w:hAnsi="Times New Roman" w:eastAsia="方正仿宋_GBK" w:cs="方正仿宋_GBK"/>
          <w:b w:val="0"/>
          <w:bCs/>
          <w:sz w:val="32"/>
          <w:szCs w:val="32"/>
          <w:lang w:eastAsia="zh-CN"/>
        </w:rPr>
        <w:t>（</w:t>
      </w:r>
      <w:r>
        <w:rPr>
          <w:rFonts w:hint="eastAsia" w:ascii="Times New Roman" w:hAnsi="Times New Roman" w:eastAsia="方正仿宋_GBK" w:cs="方正仿宋_GBK"/>
          <w:b w:val="0"/>
          <w:bCs/>
          <w:sz w:val="32"/>
          <w:szCs w:val="32"/>
          <w:lang w:val="en-US" w:eastAsia="zh-CN"/>
        </w:rPr>
        <w:t>附件1</w:t>
      </w:r>
      <w:r>
        <w:rPr>
          <w:rFonts w:hint="eastAsia" w:ascii="Times New Roman" w:hAnsi="Times New Roman" w:eastAsia="方正仿宋_GBK" w:cs="方正仿宋_GBK"/>
          <w:b w:val="0"/>
          <w:bCs/>
          <w:sz w:val="32"/>
          <w:szCs w:val="32"/>
          <w:lang w:eastAsia="zh-CN"/>
        </w:rPr>
        <w:t>），</w:t>
      </w:r>
      <w:r>
        <w:rPr>
          <w:rFonts w:hint="eastAsia" w:ascii="Times New Roman" w:hAnsi="Times New Roman" w:eastAsia="方正仿宋_GBK" w:cs="方正仿宋_GBK"/>
          <w:b w:val="0"/>
          <w:bCs/>
          <w:sz w:val="32"/>
          <w:szCs w:val="32"/>
        </w:rPr>
        <w:t>《江阴市公路绿化养护月度考核评分标准》</w:t>
      </w:r>
      <w:r>
        <w:rPr>
          <w:rFonts w:hint="eastAsia" w:ascii="Times New Roman" w:hAnsi="Times New Roman" w:eastAsia="方正仿宋_GBK" w:cs="方正仿宋_GBK"/>
          <w:b w:val="0"/>
          <w:bCs/>
          <w:sz w:val="32"/>
          <w:szCs w:val="32"/>
          <w:lang w:eastAsia="zh-CN"/>
        </w:rPr>
        <w:t>（</w:t>
      </w:r>
      <w:r>
        <w:rPr>
          <w:rFonts w:hint="eastAsia" w:ascii="Times New Roman" w:hAnsi="Times New Roman" w:eastAsia="方正仿宋_GBK" w:cs="方正仿宋_GBK"/>
          <w:b w:val="0"/>
          <w:bCs/>
          <w:sz w:val="32"/>
          <w:szCs w:val="32"/>
          <w:lang w:val="en-US" w:eastAsia="zh-CN"/>
        </w:rPr>
        <w:t>附件2</w:t>
      </w:r>
      <w:r>
        <w:rPr>
          <w:rFonts w:hint="eastAsia" w:ascii="Times New Roman" w:hAnsi="Times New Roman" w:eastAsia="方正仿宋_GBK" w:cs="方正仿宋_GBK"/>
          <w:b w:val="0"/>
          <w:bCs/>
          <w:sz w:val="32"/>
          <w:szCs w:val="32"/>
          <w:lang w:eastAsia="zh-CN"/>
        </w:rPr>
        <w:t>）</w:t>
      </w:r>
      <w:r>
        <w:rPr>
          <w:rFonts w:hint="eastAsia" w:ascii="Times New Roman" w:hAnsi="Times New Roman" w:eastAsia="方正仿宋_GBK" w:cs="方正仿宋_GBK"/>
          <w:b w:val="0"/>
          <w:bCs/>
          <w:sz w:val="32"/>
          <w:szCs w:val="32"/>
        </w:rPr>
        <w:t>执行。</w:t>
      </w:r>
    </w:p>
    <w:p>
      <w:pPr>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outlineLvl w:val="1"/>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lang w:val="en-US" w:eastAsia="zh-CN"/>
        </w:rPr>
        <w:t>四</w:t>
      </w:r>
      <w:r>
        <w:rPr>
          <w:rFonts w:hint="eastAsia" w:ascii="Times New Roman" w:hAnsi="Times New Roman" w:eastAsia="方正黑体_GBK" w:cs="方正黑体_GBK"/>
          <w:sz w:val="32"/>
          <w:szCs w:val="32"/>
        </w:rPr>
        <w:t>、</w:t>
      </w:r>
      <w:r>
        <w:rPr>
          <w:rFonts w:hint="eastAsia" w:ascii="Times New Roman" w:hAnsi="Times New Roman" w:eastAsia="方正黑体_GBK" w:cs="方正黑体_GBK"/>
          <w:sz w:val="32"/>
          <w:szCs w:val="32"/>
          <w:lang w:val="en-US" w:eastAsia="zh-CN"/>
        </w:rPr>
        <w:t>养护</w:t>
      </w:r>
      <w:r>
        <w:rPr>
          <w:rFonts w:hint="eastAsia" w:ascii="Times New Roman" w:hAnsi="Times New Roman" w:eastAsia="方正黑体_GBK" w:cs="方正黑体_GBK"/>
          <w:sz w:val="32"/>
          <w:szCs w:val="32"/>
        </w:rPr>
        <w:t>交接：</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中标单位在</w:t>
      </w:r>
      <w:r>
        <w:rPr>
          <w:rFonts w:hint="eastAsia" w:ascii="Times New Roman" w:hAnsi="Times New Roman" w:eastAsia="方正仿宋_GBK" w:cs="方正仿宋_GBK"/>
          <w:b w:val="0"/>
          <w:bCs/>
          <w:sz w:val="32"/>
          <w:szCs w:val="32"/>
          <w:lang w:eastAsia="zh-CN"/>
        </w:rPr>
        <w:t>合同到期前应当</w:t>
      </w:r>
      <w:r>
        <w:rPr>
          <w:rFonts w:hint="eastAsia" w:ascii="Times New Roman" w:hAnsi="Times New Roman" w:eastAsia="方正仿宋_GBK" w:cs="方正仿宋_GBK"/>
          <w:b w:val="0"/>
          <w:bCs/>
          <w:sz w:val="32"/>
          <w:szCs w:val="32"/>
        </w:rPr>
        <w:t>进行苗木</w:t>
      </w:r>
      <w:r>
        <w:rPr>
          <w:rFonts w:hint="eastAsia" w:ascii="Times New Roman" w:hAnsi="Times New Roman" w:eastAsia="方正仿宋_GBK" w:cs="方正仿宋_GBK"/>
          <w:b w:val="0"/>
          <w:bCs/>
          <w:sz w:val="32"/>
          <w:szCs w:val="32"/>
          <w:lang w:eastAsia="zh-CN"/>
        </w:rPr>
        <w:t>普查，并对绿地内各类问题限期整改，养护质量，苗木完整率符合要求后方可移交</w:t>
      </w:r>
      <w:r>
        <w:rPr>
          <w:rFonts w:hint="eastAsia" w:ascii="Times New Roman" w:hAnsi="Times New Roman" w:eastAsia="方正仿宋_GBK" w:cs="方正仿宋_GBK"/>
          <w:b w:val="0"/>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outlineLvl w:val="1"/>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lang w:val="en-US" w:eastAsia="zh-CN"/>
        </w:rPr>
        <w:t>五</w:t>
      </w:r>
      <w:r>
        <w:rPr>
          <w:rFonts w:hint="eastAsia" w:ascii="Times New Roman" w:hAnsi="Times New Roman" w:eastAsia="方正黑体_GBK" w:cs="方正黑体_GBK"/>
          <w:sz w:val="32"/>
          <w:szCs w:val="32"/>
        </w:rPr>
        <w:t>、付款方式：</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1、养护经费拨付：根据养护合同</w:t>
      </w:r>
      <w:r>
        <w:rPr>
          <w:rFonts w:hint="eastAsia" w:ascii="Times New Roman" w:hAnsi="Times New Roman" w:eastAsia="方正仿宋_GBK" w:cs="方正仿宋_GBK"/>
          <w:b w:val="0"/>
          <w:bCs/>
          <w:sz w:val="32"/>
          <w:szCs w:val="32"/>
          <w:lang w:val="en-US" w:eastAsia="zh-CN"/>
        </w:rPr>
        <w:t>，按照</w:t>
      </w:r>
      <w:r>
        <w:rPr>
          <w:rFonts w:hint="eastAsia" w:ascii="Times New Roman" w:hAnsi="Times New Roman" w:eastAsia="方正仿宋_GBK" w:cs="方正仿宋_GBK"/>
          <w:b w:val="0"/>
          <w:bCs/>
          <w:sz w:val="32"/>
          <w:szCs w:val="32"/>
        </w:rPr>
        <w:t>月度考核情况按季支付养护经费。</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2、合同期满，并与下一轮养护接管单位交接完成后，返还履约保证金，不计息。</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3、养护移交过程中，原养护单位存在问题的需在规定时间内按要求整改到位后交付接管单位，逾期整改不到位由接管单位进行整改，费用按定额计取，从原养护单位养护经费中列支，并扣除原养护单位全部履约保证金。</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4、养护期内因规划调整、建设需要或其他原因发生养护面积</w:t>
      </w:r>
      <w:r>
        <w:rPr>
          <w:rFonts w:hint="eastAsia" w:ascii="Times New Roman" w:hAnsi="Times New Roman" w:eastAsia="方正仿宋_GBK" w:cs="方正仿宋_GBK"/>
          <w:b w:val="0"/>
          <w:bCs/>
          <w:sz w:val="32"/>
          <w:szCs w:val="32"/>
          <w:lang w:val="en-US" w:eastAsia="zh-CN"/>
        </w:rPr>
        <w:t>增减</w:t>
      </w:r>
      <w:r>
        <w:rPr>
          <w:rFonts w:hint="eastAsia" w:ascii="Times New Roman" w:hAnsi="Times New Roman" w:eastAsia="方正仿宋_GBK" w:cs="方正仿宋_GBK"/>
          <w:b w:val="0"/>
          <w:bCs/>
          <w:sz w:val="32"/>
          <w:szCs w:val="32"/>
        </w:rPr>
        <w:t>或养护等级调整的，依据实际数量及相应投标报价按实调整养护经费。</w:t>
      </w:r>
    </w:p>
    <w:p>
      <w:pPr>
        <w:keepNext w:val="0"/>
        <w:keepLines w:val="0"/>
        <w:pageBreakBefore w:val="0"/>
        <w:widowControl w:val="0"/>
        <w:kinsoku/>
        <w:wordWrap/>
        <w:overflowPunct/>
        <w:topLinePunct w:val="0"/>
        <w:autoSpaceDE/>
        <w:autoSpaceDN/>
        <w:bidi w:val="0"/>
        <w:adjustRightInd/>
        <w:snapToGrid/>
        <w:spacing w:line="240" w:lineRule="auto"/>
        <w:ind w:right="-1340" w:rightChars="-444"/>
        <w:textAlignment w:val="auto"/>
        <w:outlineLvl w:val="1"/>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lang w:val="en-US" w:eastAsia="zh-CN"/>
        </w:rPr>
        <w:t>六</w:t>
      </w:r>
      <w:r>
        <w:rPr>
          <w:rFonts w:hint="eastAsia" w:ascii="Times New Roman" w:hAnsi="Times New Roman" w:eastAsia="方正黑体_GBK" w:cs="方正黑体_GBK"/>
          <w:sz w:val="32"/>
          <w:szCs w:val="32"/>
        </w:rPr>
        <w:t>、有关说明：</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1、投标人根据清单中的单价最高限价，报出折扣率，所有级别绿地的折扣率必须保持一致，否则</w:t>
      </w:r>
      <w:r>
        <w:rPr>
          <w:rFonts w:hint="eastAsia" w:ascii="Times New Roman" w:hAnsi="Times New Roman" w:eastAsia="方正仿宋_GBK" w:cs="方正仿宋_GBK"/>
          <w:b w:val="0"/>
          <w:bCs/>
          <w:sz w:val="32"/>
          <w:szCs w:val="32"/>
          <w:lang w:eastAsia="zh-CN"/>
        </w:rPr>
        <w:t>视为</w:t>
      </w:r>
      <w:r>
        <w:rPr>
          <w:rFonts w:hint="eastAsia" w:ascii="Times New Roman" w:hAnsi="Times New Roman" w:eastAsia="方正仿宋_GBK" w:cs="方正仿宋_GBK"/>
          <w:b w:val="0"/>
          <w:bCs/>
          <w:sz w:val="32"/>
          <w:szCs w:val="32"/>
        </w:rPr>
        <w:t>无效投标。</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实际结算单价=单价最高限价×折扣率（例如：报价为75%，则实际结算单价=单价最高限价×75%）。</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2、投标人可对现有绿化养护范围进行详细勘察，充分了解绿地位置、情况、绿地完整率、道路、储存空间、装卸限制及任何其他足以影响承包价的情况，任何因忽视或误解现场情况而导致的索赔将不被批准。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3、养护及时性保障要求。制式水车、高空作业车等养护机械设备按甲方要求停放指定地点。</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4、合同履行期间，若出现以下情况，招标单位</w:t>
      </w:r>
      <w:r>
        <w:rPr>
          <w:rFonts w:hint="eastAsia" w:ascii="Times New Roman" w:hAnsi="Times New Roman" w:eastAsia="方正仿宋_GBK" w:cs="方正仿宋_GBK"/>
          <w:b w:val="0"/>
          <w:bCs/>
          <w:sz w:val="32"/>
          <w:szCs w:val="32"/>
          <w:lang w:eastAsia="zh-CN"/>
        </w:rPr>
        <w:t>有权</w:t>
      </w:r>
      <w:r>
        <w:rPr>
          <w:rFonts w:hint="eastAsia" w:ascii="Times New Roman" w:hAnsi="Times New Roman" w:eastAsia="方正仿宋_GBK" w:cs="方正仿宋_GBK"/>
          <w:b w:val="0"/>
          <w:bCs/>
          <w:sz w:val="32"/>
          <w:szCs w:val="32"/>
        </w:rPr>
        <w:t>终止养护合同：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（1）月度考核及格分80分，每低于及格分1分扣当月养护经费3%，并约谈企业负责人；两次月度考核不及格的，直接终止养护合同。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（2）养护作业应注意自身和第三方的施工操作人员和行人的安全，注意不损害周边市政设施和建筑物，不影响市容环境。做好各项围护、防护措施，配合城建部门的管理。养护工作中确保零安全事故，如</w:t>
      </w:r>
      <w:r>
        <w:rPr>
          <w:rFonts w:hint="eastAsia" w:ascii="Times New Roman" w:hAnsi="Times New Roman" w:eastAsia="方正仿宋_GBK" w:cs="方正仿宋_GBK"/>
          <w:b w:val="0"/>
          <w:bCs/>
          <w:sz w:val="32"/>
          <w:szCs w:val="32"/>
          <w:lang w:val="en-US" w:eastAsia="zh-CN"/>
        </w:rPr>
        <w:t>发生安全事故</w:t>
      </w:r>
      <w:r>
        <w:rPr>
          <w:rFonts w:hint="eastAsia" w:ascii="Times New Roman" w:hAnsi="Times New Roman" w:eastAsia="方正仿宋_GBK" w:cs="方正仿宋_GBK"/>
          <w:b w:val="0"/>
          <w:bCs/>
          <w:sz w:val="32"/>
          <w:szCs w:val="32"/>
        </w:rPr>
        <w:t>，由中标单位自行承担</w:t>
      </w:r>
      <w:r>
        <w:rPr>
          <w:rFonts w:hint="eastAsia" w:ascii="Times New Roman" w:hAnsi="Times New Roman" w:eastAsia="方正仿宋_GBK" w:cs="方正仿宋_GBK"/>
          <w:b w:val="0"/>
          <w:bCs/>
          <w:sz w:val="32"/>
          <w:szCs w:val="32"/>
          <w:lang w:val="en-US" w:eastAsia="zh-CN"/>
        </w:rPr>
        <w:t>所有责任</w:t>
      </w:r>
      <w:r>
        <w:rPr>
          <w:rFonts w:hint="eastAsia" w:ascii="Times New Roman" w:hAnsi="Times New Roman" w:eastAsia="方正仿宋_GBK" w:cs="方正仿宋_GBK"/>
          <w:b w:val="0"/>
          <w:bCs/>
          <w:sz w:val="32"/>
          <w:szCs w:val="32"/>
          <w:lang w:eastAsia="zh-CN"/>
        </w:rPr>
        <w:t>，</w:t>
      </w:r>
      <w:r>
        <w:rPr>
          <w:rFonts w:hint="eastAsia" w:ascii="Times New Roman" w:hAnsi="Times New Roman" w:eastAsia="方正仿宋_GBK" w:cs="方正仿宋_GBK"/>
          <w:b w:val="0"/>
          <w:bCs/>
          <w:sz w:val="32"/>
          <w:szCs w:val="32"/>
        </w:rPr>
        <w:t>发生重大安全责任事故</w:t>
      </w:r>
      <w:r>
        <w:rPr>
          <w:rFonts w:hint="eastAsia" w:ascii="Times New Roman" w:hAnsi="Times New Roman" w:eastAsia="方正仿宋_GBK" w:cs="方正仿宋_GBK"/>
          <w:b w:val="0"/>
          <w:bCs/>
          <w:sz w:val="32"/>
          <w:szCs w:val="32"/>
          <w:lang w:eastAsia="zh-CN"/>
        </w:rPr>
        <w:t>的</w:t>
      </w:r>
      <w:r>
        <w:rPr>
          <w:rFonts w:hint="eastAsia" w:ascii="Times New Roman" w:hAnsi="Times New Roman" w:eastAsia="方正仿宋_GBK" w:cs="方正仿宋_GBK"/>
          <w:b w:val="0"/>
          <w:bCs/>
          <w:sz w:val="32"/>
          <w:szCs w:val="32"/>
        </w:rPr>
        <w:t>，招标单位有权终止合同。因养护管理工作不到位或失职造成园林景观、设备设施及绿地有重大损失或社会不良影响的，视情况轻重加倍</w:t>
      </w:r>
      <w:r>
        <w:rPr>
          <w:rFonts w:hint="eastAsia" w:ascii="Times New Roman" w:hAnsi="Times New Roman" w:eastAsia="方正仿宋_GBK" w:cs="方正仿宋_GBK"/>
          <w:b w:val="0"/>
          <w:bCs/>
          <w:sz w:val="32"/>
          <w:szCs w:val="32"/>
          <w:lang w:val="en-US" w:eastAsia="zh-CN"/>
        </w:rPr>
        <w:t>处罚</w:t>
      </w:r>
      <w:r>
        <w:rPr>
          <w:rFonts w:hint="eastAsia" w:ascii="Times New Roman" w:hAnsi="Times New Roman" w:eastAsia="方正仿宋_GBK" w:cs="方正仿宋_GBK"/>
          <w:b w:val="0"/>
          <w:bCs/>
          <w:sz w:val="32"/>
          <w:szCs w:val="32"/>
        </w:rPr>
        <w:t>或终止养护合同。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（3）养护单位未按合同及相关规定，擅自进行项目分包、转包的，主管部门有权终止养护合同。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（4）</w:t>
      </w:r>
      <w:r>
        <w:rPr>
          <w:rFonts w:hint="eastAsia" w:ascii="Times New Roman" w:hAnsi="Times New Roman" w:eastAsia="方正仿宋_GBK" w:cs="方正仿宋_GBK"/>
          <w:b w:val="0"/>
          <w:bCs/>
          <w:sz w:val="32"/>
          <w:szCs w:val="32"/>
          <w:lang w:eastAsia="zh-CN"/>
        </w:rPr>
        <w:t>因上述情况</w:t>
      </w:r>
      <w:r>
        <w:rPr>
          <w:rFonts w:hint="eastAsia" w:ascii="Times New Roman" w:hAnsi="Times New Roman" w:eastAsia="方正仿宋_GBK" w:cs="方正仿宋_GBK"/>
          <w:b w:val="0"/>
          <w:bCs/>
          <w:sz w:val="32"/>
          <w:szCs w:val="32"/>
        </w:rPr>
        <w:t>终止养护合同的一律没收所有履约保证金，养护单位、项目负责人予以系统内通报，三年内不得参与市交通运输局园林绿化项目竞标。</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04" w:firstLineChars="200"/>
        <w:textAlignment w:val="auto"/>
        <w:rPr>
          <w:rFonts w:hint="eastAsia" w:ascii="Times New Roman" w:hAnsi="Times New Roman" w:eastAsia="方正仿宋_GBK" w:cs="方正仿宋_GBK"/>
          <w:b w:val="0"/>
          <w:bCs/>
          <w:sz w:val="32"/>
          <w:szCs w:val="32"/>
        </w:rPr>
      </w:pPr>
      <w:r>
        <w:rPr>
          <w:rFonts w:hint="eastAsia" w:ascii="Times New Roman" w:hAnsi="Times New Roman" w:eastAsia="方正仿宋_GBK" w:cs="方正仿宋_GBK"/>
          <w:b w:val="0"/>
          <w:bCs/>
          <w:sz w:val="32"/>
          <w:szCs w:val="32"/>
        </w:rPr>
        <w:t>5、凡涉及招标文件的补充说明或修正，均以书面依据为准。</w:t>
      </w:r>
    </w:p>
    <w:sectPr>
      <w:headerReference r:id="rId5" w:type="default"/>
      <w:footerReference r:id="rId6" w:type="default"/>
      <w:pgSz w:w="11906" w:h="16838"/>
      <w:pgMar w:top="2041" w:right="1587" w:bottom="1417" w:left="1871" w:header="1134" w:footer="1304" w:gutter="0"/>
      <w:pgBorders>
        <w:top w:val="none" w:sz="0" w:space="0"/>
        <w:left w:val="none" w:sz="0" w:space="0"/>
        <w:bottom w:val="none" w:sz="0" w:space="0"/>
        <w:right w:val="none" w:sz="0" w:space="0"/>
      </w:pgBorders>
      <w:pgNumType w:fmt="decimal" w:start="1"/>
      <w:cols w:space="0" w:num="1"/>
      <w:docGrid w:type="linesAndChars" w:linePitch="581" w:charSpace="-37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4"/>
      </w:pPr>
      <w:r>
        <w:separator/>
      </w:r>
    </w:p>
  </w:endnote>
  <w:endnote w:type="continuationSeparator" w:id="1">
    <w:p>
      <w:pPr>
        <w:spacing w:line="240" w:lineRule="auto"/>
        <w:ind w:firstLine="60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DFKai-SB">
    <w:panose1 w:val="03000509000000000000"/>
    <w:charset w:val="88"/>
    <w:family w:val="script"/>
    <w:pitch w:val="default"/>
    <w:sig w:usb0="00000003" w:usb1="082E0000" w:usb2="00000016" w:usb3="00000000" w:csb0="00100001" w:csb1="00000000"/>
  </w:font>
  <w:font w:name="Calibri Light">
    <w:panose1 w:val="020F0302020204030204"/>
    <w:charset w:val="00"/>
    <w:family w:val="swiss"/>
    <w:pitch w:val="default"/>
    <w:sig w:usb0="A00002EF" w:usb1="4000207B"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0" w:leftChars="0" w:firstLine="0" w:firstLineChars="0"/>
      <w:jc w:val="center"/>
      <w:rPr>
        <w:rFonts w:hint="eastAsia" w:eastAsia="宋体"/>
        <w:sz w:val="28"/>
        <w:szCs w:val="28"/>
        <w:lang w:val="en-US" w:eastAsia="zh-CN"/>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rFonts w:hint="eastAsia"/>
        <w:sz w:val="28"/>
        <w:szCs w:val="28"/>
        <w:lang w:val="en-US"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04"/>
      </w:pPr>
      <w:r>
        <w:separator/>
      </w:r>
    </w:p>
  </w:footnote>
  <w:footnote w:type="continuationSeparator" w:id="1">
    <w:p>
      <w:pPr>
        <w:spacing w:line="240" w:lineRule="auto"/>
        <w:ind w:firstLine="604"/>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widowControl w:val="0"/>
      <w:pBdr>
        <w:top w:val="none" w:color="auto" w:sz="0" w:space="1"/>
        <w:left w:val="none" w:color="auto" w:sz="0" w:space="4"/>
        <w:bottom w:val="none" w:color="auto" w:sz="0" w:space="1"/>
        <w:right w:val="none" w:color="auto" w:sz="0" w:space="4"/>
        <w:between w:val="none" w:color="auto" w:sz="0" w:space="0"/>
      </w:pBdr>
      <w:snapToGrid w:val="0"/>
      <w:spacing w:line="240" w:lineRule="atLeast"/>
      <w:ind w:firstLine="360" w:firstLineChars="20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51"/>
  <w:drawingGridVerticalSpacing w:val="290"/>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yNTZlZTg4ZmIyM2VlMzllYmExNDIxNDM2ZjYyYTAifQ=="/>
  </w:docVars>
  <w:rsids>
    <w:rsidRoot w:val="006D7FA8"/>
    <w:rsid w:val="0007312D"/>
    <w:rsid w:val="006D7FA8"/>
    <w:rsid w:val="00716523"/>
    <w:rsid w:val="009761CA"/>
    <w:rsid w:val="00AE5FA8"/>
    <w:rsid w:val="02274DE1"/>
    <w:rsid w:val="03083B97"/>
    <w:rsid w:val="0A882EBE"/>
    <w:rsid w:val="0C113739"/>
    <w:rsid w:val="0F182573"/>
    <w:rsid w:val="11C1065F"/>
    <w:rsid w:val="19D070C4"/>
    <w:rsid w:val="1AC67940"/>
    <w:rsid w:val="1ECE3309"/>
    <w:rsid w:val="1FAE08E9"/>
    <w:rsid w:val="28C4455D"/>
    <w:rsid w:val="2C885A7F"/>
    <w:rsid w:val="307B38BC"/>
    <w:rsid w:val="3B937E1F"/>
    <w:rsid w:val="3C064FC6"/>
    <w:rsid w:val="3E524A9F"/>
    <w:rsid w:val="47B53E68"/>
    <w:rsid w:val="49BF3F0C"/>
    <w:rsid w:val="56CB452E"/>
    <w:rsid w:val="67606039"/>
    <w:rsid w:val="750250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60" w:lineRule="exact"/>
      <w:ind w:firstLine="200" w:firstLineChars="200"/>
      <w:jc w:val="both"/>
    </w:pPr>
    <w:rPr>
      <w:rFonts w:ascii="Times New Roman" w:hAnsi="Times New Roman" w:eastAsia="宋体" w:cs="Times New Roman"/>
      <w:kern w:val="2"/>
      <w:sz w:val="32"/>
      <w:szCs w:val="24"/>
      <w:lang w:val="en-US" w:eastAsia="zh-CN" w:bidi="ar-SA"/>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spacing w:after="120" w:line="240" w:lineRule="auto"/>
      <w:ind w:firstLine="420" w:firstLineChars="100"/>
    </w:pPr>
    <w:rPr>
      <w:rFonts w:ascii="宋体" w:hAnsi="宋体" w:eastAsia="宋体"/>
      <w:sz w:val="24"/>
    </w:rPr>
  </w:style>
  <w:style w:type="paragraph" w:styleId="3">
    <w:name w:val="Body Text"/>
    <w:basedOn w:val="1"/>
    <w:next w:val="4"/>
    <w:autoRedefine/>
    <w:qFormat/>
    <w:uiPriority w:val="0"/>
    <w:pPr>
      <w:spacing w:line="360" w:lineRule="auto"/>
    </w:pPr>
    <w:rPr>
      <w:rFonts w:ascii="楷体_GB2312" w:eastAsia="楷体_GB2312"/>
      <w:bCs/>
      <w:sz w:val="28"/>
    </w:rPr>
  </w:style>
  <w:style w:type="paragraph" w:customStyle="1" w:styleId="4">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Document Map"/>
    <w:basedOn w:val="1"/>
    <w:next w:val="1"/>
    <w:autoRedefine/>
    <w:qFormat/>
    <w:uiPriority w:val="0"/>
    <w:pPr>
      <w:shd w:val="clear" w:color="auto" w:fill="000080"/>
    </w:pPr>
  </w:style>
  <w:style w:type="paragraph" w:styleId="6">
    <w:name w:val="Body Text Indent"/>
    <w:basedOn w:val="1"/>
    <w:next w:val="7"/>
    <w:autoRedefine/>
    <w:qFormat/>
    <w:uiPriority w:val="0"/>
    <w:pPr>
      <w:ind w:firstLine="420" w:firstLineChars="200"/>
    </w:pPr>
    <w:rPr>
      <w:rFonts w:ascii="宋体" w:hAnsi="宋体"/>
    </w:rPr>
  </w:style>
  <w:style w:type="paragraph" w:styleId="7">
    <w:name w:val="envelope return"/>
    <w:basedOn w:val="1"/>
    <w:autoRedefine/>
    <w:qFormat/>
    <w:uiPriority w:val="0"/>
    <w:pPr>
      <w:tabs>
        <w:tab w:val="left" w:pos="1630"/>
      </w:tabs>
      <w:snapToGrid w:val="0"/>
      <w:jc w:val="left"/>
    </w:pPr>
    <w:rPr>
      <w:rFonts w:ascii="Arial" w:hAnsi="Arial" w:eastAsia="DFKai-SB" w:cs="Arial"/>
      <w:sz w:val="28"/>
      <w:lang w:eastAsia="zh-TW"/>
    </w:rPr>
  </w:style>
  <w:style w:type="paragraph" w:styleId="8">
    <w:name w:val="footer"/>
    <w:basedOn w:val="1"/>
    <w:link w:val="21"/>
    <w:autoRedefine/>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0"/>
    <w:autoRedefine/>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0">
    <w:name w:val="Normal (Web)"/>
    <w:basedOn w:val="1"/>
    <w:autoRedefine/>
    <w:qFormat/>
    <w:uiPriority w:val="99"/>
    <w:pPr>
      <w:spacing w:beforeAutospacing="1" w:afterAutospacing="1"/>
      <w:jc w:val="left"/>
    </w:pPr>
    <w:rPr>
      <w:kern w:val="0"/>
      <w:sz w:val="24"/>
    </w:rPr>
  </w:style>
  <w:style w:type="paragraph" w:styleId="11">
    <w:name w:val="Title"/>
    <w:basedOn w:val="1"/>
    <w:next w:val="1"/>
    <w:autoRedefine/>
    <w:qFormat/>
    <w:uiPriority w:val="0"/>
    <w:pPr>
      <w:spacing w:before="240" w:after="60"/>
      <w:jc w:val="center"/>
      <w:outlineLvl w:val="0"/>
    </w:pPr>
    <w:rPr>
      <w:rFonts w:ascii="Calibri Light" w:hAnsi="Calibri Light" w:cs="Times New Roman"/>
      <w:b/>
      <w:bCs/>
      <w:sz w:val="32"/>
      <w:szCs w:val="32"/>
    </w:rPr>
  </w:style>
  <w:style w:type="paragraph" w:styleId="12">
    <w:name w:val="Body Text First Indent 2"/>
    <w:basedOn w:val="6"/>
    <w:autoRedefine/>
    <w:qFormat/>
    <w:uiPriority w:val="0"/>
    <w:pPr>
      <w:spacing w:after="120"/>
      <w:ind w:left="480" w:leftChars="200" w:firstLine="210" w:firstLineChars="100"/>
      <w:jc w:val="left"/>
    </w:pPr>
    <w:rPr>
      <w:rFonts w:ascii="DFKai-SB" w:eastAsia="DFKai-SB"/>
      <w:spacing w:val="-8"/>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autoRedefine/>
    <w:qFormat/>
    <w:uiPriority w:val="22"/>
    <w:rPr>
      <w:b/>
      <w:bCs/>
    </w:rPr>
  </w:style>
  <w:style w:type="character" w:styleId="17">
    <w:name w:val="HTML Sample"/>
    <w:basedOn w:val="15"/>
    <w:autoRedefine/>
    <w:qFormat/>
    <w:uiPriority w:val="0"/>
    <w:rPr>
      <w:rFonts w:ascii="Courier New" w:hAnsi="Courier New"/>
    </w:rPr>
  </w:style>
  <w:style w:type="paragraph" w:customStyle="1" w:styleId="18">
    <w:name w:val="段"/>
    <w:next w:val="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19">
    <w:name w:val="List Paragraph"/>
    <w:basedOn w:val="1"/>
    <w:autoRedefine/>
    <w:qFormat/>
    <w:uiPriority w:val="0"/>
    <w:pPr>
      <w:spacing w:line="240" w:lineRule="auto"/>
      <w:ind w:firstLine="420"/>
    </w:pPr>
    <w:rPr>
      <w:rFonts w:ascii="Calibri" w:hAnsi="Calibri"/>
      <w:szCs w:val="22"/>
    </w:rPr>
  </w:style>
  <w:style w:type="character" w:customStyle="1" w:styleId="20">
    <w:name w:val="页眉 Char"/>
    <w:basedOn w:val="15"/>
    <w:link w:val="9"/>
    <w:autoRedefine/>
    <w:qFormat/>
    <w:uiPriority w:val="0"/>
    <w:rPr>
      <w:kern w:val="2"/>
      <w:sz w:val="18"/>
      <w:szCs w:val="18"/>
    </w:rPr>
  </w:style>
  <w:style w:type="character" w:customStyle="1" w:styleId="21">
    <w:name w:val="页脚 Char"/>
    <w:basedOn w:val="15"/>
    <w:link w:val="8"/>
    <w:autoRedefine/>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343</Words>
  <Characters>401</Characters>
  <Lines>1</Lines>
  <Paragraphs>1</Paragraphs>
  <TotalTime>16</TotalTime>
  <ScaleCrop>false</ScaleCrop>
  <LinksUpToDate>false</LinksUpToDate>
  <CharactersWithSpaces>403</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2024-01-24T05:22:00Z</dcterms:created>
  <dc:creator>admin</dc:creator>
  <cp:lastModifiedBy>蒋榕</cp:lastModifiedBy>
  <dcterms:modified xsi:type="dcterms:W3CDTF">2025-01-06T01:25:27Z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CC7D8849CF3A4BC8BC8F9AADC7C0B50F_13</vt:lpwstr>
  </property>
  <property fmtid="{D5CDD505-2E9C-101B-9397-08002B2CF9AE}" pid="4" name="KSOTemplateDocerSaveRecord">
    <vt:lpwstr>eyJoZGlkIjoiY2NlZTQyODY3NTliNmMwNWZkYjVhNjZmYzY2NmM3MzYiLCJ1c2VySWQiOiIzODEyNjAzNDgifQ==</vt:lpwstr>
  </property>
</Properties>
</file>