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8"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ascii="宋体" w:hAnsi="宋体" w:eastAsia="宋体" w:cs="宋体"/>
                <w:b/>
                <w:sz w:val="52"/>
              </w:rPr>
              <w:t>2023年度</w:t>
            </w:r>
            <w:r>
              <w:rPr>
                <w:rFonts w:ascii="宋体" w:hAnsi="宋体" w:eastAsia="宋体" w:cs="宋体"/>
                <w:b/>
                <w:sz w:val="52"/>
              </w:rPr>
              <w:cr/>
            </w:r>
            <w:r>
              <w:rPr>
                <w:rFonts w:ascii="宋体" w:hAnsi="宋体" w:eastAsia="宋体" w:cs="宋体"/>
                <w:b/>
                <w:sz w:val="52"/>
              </w:rPr>
              <w:br w:type="textWrapping"/>
            </w:r>
            <w:r>
              <w:rPr>
                <w:rFonts w:ascii="宋体" w:hAnsi="宋体" w:eastAsia="宋体" w:cs="宋体"/>
                <w:b/>
                <w:sz w:val="52"/>
              </w:rPr>
              <w:t>江阴市公共资源交易中心</w:t>
            </w:r>
            <w:r>
              <w:rPr>
                <w:rFonts w:ascii="宋体" w:hAnsi="宋体" w:eastAsia="宋体" w:cs="宋体"/>
                <w:b/>
                <w:sz w:val="52"/>
              </w:rPr>
              <w:cr/>
            </w:r>
            <w:r>
              <w:rPr>
                <w:rFonts w:ascii="宋体" w:hAnsi="宋体" w:eastAsia="宋体" w:cs="宋体"/>
                <w:b/>
                <w:sz w:val="52"/>
              </w:rPr>
              <w:br w:type="textWrapping"/>
            </w:r>
            <w:r>
              <w:rPr>
                <w:rFonts w:ascii="宋体" w:hAnsi="宋体" w:eastAsia="宋体" w:cs="宋体"/>
                <w:b/>
                <w:sz w:val="52"/>
              </w:rPr>
              <w:t>单位预算公开</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102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单位</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2023</w:t>
      </w:r>
      <w:r>
        <w:rPr>
          <w:rFonts w:hint="eastAsia" w:ascii="仿宋" w:hAnsi="仿宋" w:eastAsia="仿宋" w:cs="仿宋"/>
        </w:rPr>
        <w:t>年度</w:t>
      </w:r>
      <w:r>
        <w:rPr>
          <w:rFonts w:hint="eastAsia" w:ascii="仿宋" w:hAnsi="仿宋" w:eastAsia="仿宋" w:cs="仿宋"/>
          <w:lang w:val="en-US" w:eastAsia="zh-CN"/>
        </w:rPr>
        <w:t>单位</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2023</w:t>
      </w:r>
      <w:r>
        <w:rPr>
          <w:rFonts w:hint="eastAsia" w:ascii="仿宋" w:hAnsi="仿宋" w:eastAsia="仿宋" w:cs="仿宋"/>
          <w:b/>
          <w:bCs/>
          <w:lang w:val="en-US" w:eastAsia="zh-CN"/>
        </w:rPr>
        <w:t>年度</w:t>
      </w:r>
      <w:r>
        <w:rPr>
          <w:rFonts w:ascii="仿宋" w:hAnsi="仿宋" w:eastAsia="仿宋" w:cs="仿宋"/>
          <w:b/>
        </w:rPr>
        <w:t>单位预算表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w:t>
      </w:r>
      <w:r>
        <w:rPr>
          <w:rFonts w:hint="eastAsia" w:ascii="仿宋" w:hAnsi="仿宋" w:eastAsia="仿宋" w:cs="仿宋"/>
          <w:lang w:val="en-US" w:eastAsia="zh-CN"/>
        </w:rPr>
        <w:t>预算</w:t>
      </w:r>
      <w:r>
        <w:rPr>
          <w:rFonts w:hint="eastAsia" w:ascii="仿宋" w:hAnsi="仿宋" w:eastAsia="仿宋" w:cs="仿宋"/>
        </w:rPr>
        <w:t>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2023</w:t>
      </w:r>
      <w:r>
        <w:rPr>
          <w:rFonts w:hint="eastAsia" w:ascii="仿宋" w:hAnsi="仿宋" w:eastAsia="仿宋" w:cs="仿宋"/>
          <w:b/>
          <w:bCs/>
          <w:color w:val="000000"/>
          <w:sz w:val="30"/>
          <w:szCs w:val="30"/>
          <w:lang w:val="en-US" w:bidi="ar"/>
        </w:rPr>
        <w:t>年度</w:t>
      </w:r>
      <w:r>
        <w:rPr>
          <w:rFonts w:ascii="仿宋" w:hAnsi="仿宋" w:eastAsia="仿宋" w:cs="仿宋"/>
          <w:b/>
          <w:color w:val="000000"/>
          <w:sz w:val="30"/>
        </w:rPr>
        <w:t>单位</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单位概况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宣传贯彻执行有关建设工程项目招投标、政府采购、产权交易（含农村产权交易，下同）等方面的法律法规和相关政策规定；受理、发布本市各类公共资源交易信息，为交易双方、中介机构提供交易场所、信息资料、技术咨询及其他相关服务；负责对投标单位、中介代理机构资格的登记、核验及及评委考核等工作；对建设工程项目招投标、政府采购、产权交易等公共资源交易方案进行业务审核；负责按照政府采购监督管理部门的要求，接受采购人委托，编制采购文件，组织实施政府集中采购目录内的项目采购，接受委托代理其他政府采购项目的采购；负责公共资源交易评标专家库的使用，为招标人、采购人提供评委抽取等相关服务；组织各类建设工程项目招投标、政府采购、国有集体资产产权转让及农村集体资产交易等公共资源交易活动；负责对各类交易资料的收集、整理、立卷和统一管理，按规定为有关单位提供档案查阅服务，建立和管理政府采购供应商库；负责对政府采购供应商质疑做出答复；负责公共资源交易活动中法律法规咨询；配合监管部门（单位）调解公共资源交易活动产生的争议、投诉、纠纷，维护正常的交易市场秩序；承担公共资源交易各类保证金的代收代退的管理工作；加强与各相关监管部门（单位）的沟通、联络和配合；指导镇（街）开发区公共资源交易工作；落实本单位安全生产主体责任；完成市行政审批局交办的其他工作。</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eastAsia="仿宋" w:cs="仿宋"/>
          <w:b/>
        </w:rPr>
        <w:t>单位</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rPr>
        <w:t>根据</w:t>
      </w:r>
      <w:r>
        <w:rPr>
          <w:rFonts w:hint="eastAsia" w:ascii="仿宋" w:hAnsi="仿宋" w:eastAsia="仿宋" w:cs="仿宋"/>
          <w:lang w:val="en-US" w:eastAsia="zh-CN"/>
        </w:rPr>
        <w:t>单位</w:t>
      </w:r>
      <w:r>
        <w:rPr>
          <w:rFonts w:hint="eastAsia" w:ascii="仿宋" w:hAnsi="仿宋" w:eastAsia="仿宋" w:cs="仿宋"/>
        </w:rPr>
        <w:t>职责分工，</w:t>
      </w:r>
      <w:r>
        <w:rPr>
          <w:rFonts w:ascii="仿宋" w:hAnsi="仿宋" w:eastAsia="仿宋" w:cs="仿宋"/>
        </w:rPr>
        <w:t>本单位内设机构包括：综合保障科、项目服务科、建设交易科、采购服务一科、采购服务二科、产权交易科、综合交易科。本单位无下属单位。</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2023</w:t>
      </w:r>
      <w:r>
        <w:rPr>
          <w:rFonts w:hint="eastAsia" w:ascii="仿宋" w:hAnsi="仿宋" w:eastAsia="仿宋" w:cs="仿宋"/>
          <w:b/>
          <w:bCs/>
        </w:rPr>
        <w:t>年度</w:t>
      </w:r>
      <w:r>
        <w:rPr>
          <w:rFonts w:ascii="仿宋" w:hAnsi="仿宋" w:eastAsia="仿宋" w:cs="仿宋"/>
          <w:b/>
        </w:rPr>
        <w:t>单位主要工作任务及目标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（一）建设工程招投标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1.持续全面保障重点工程建设项目推进工作。通过提升交易服务从业人员的业务水平和综合素质，定期梳理完善各项管理制度，完善交易服务具体事项，确保重点工程建设项目推进顺利。</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2.进一步深化“一市一平台”整合工作。推进建设工程施工项目采用无锡平台，并做好相关的业务系统、保证金平台保障工作。</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3.持续做好一网通办的升级工作。实现前期材料提交、公告发布、保证金退还、发布公示公告等环节招标人“网上办”；按照无锡“评定分离”新要求完善系统功能。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4.持续加大工程建设中介超市的推广力度。进一步优化限额以下中介选取的工作制度，加大“中介超市”应用范围。</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5.进一步加强与监管单位的沟通联系。加快与其他招投标行业监管对接，落实招投标行业监管责任。</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6.稳步实施市委市政府各项优化营商环境改革事项清单举措。一是配合各监管部门开展工程建设领域招投标制度规则清理；二是开展“</w:t>
      </w:r>
      <w:bookmarkStart w:id="0" w:name="_GoBack"/>
      <w:bookmarkEnd w:id="0"/>
      <w:r>
        <w:rPr>
          <w:rFonts w:ascii="仿宋" w:hAnsi="仿宋" w:eastAsia="仿宋" w:cs="仿宋"/>
        </w:rPr>
        <w:t>双随机</w:t>
      </w:r>
      <w:r>
        <w:rPr>
          <w:rFonts w:hint="eastAsia" w:ascii="仿宋" w:hAnsi="仿宋" w:eastAsia="仿宋" w:cs="仿宋"/>
          <w:lang w:eastAsia="zh-CN"/>
        </w:rPr>
        <w:t>、</w:t>
      </w:r>
      <w:r>
        <w:rPr>
          <w:rFonts w:ascii="仿宋" w:hAnsi="仿宋" w:eastAsia="仿宋" w:cs="仿宋"/>
        </w:rPr>
        <w:t>一公开”监督检查工作；三是协助局公管科做好限额以下工程招投标专家管理工作；四是优化公共资源交易“数字见证”服务，建设智慧辅助评标系统，探索无锡“跨区通评”新模式以及推进交通工程试点远程异地评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（二）政府采购</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政府采购主要存在：远程会议系统、竞争性谈判和磋商不见面方式、框架协议系统等信息化建设不够；对评委的现场管理和评价缺乏应对机制；平台功能细节有待优化；国企采购电子化程度仍处于较低水平等问题。</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1.紧扣全流程电子化。大力开发远程视频会议系统，实现竞争性谈判和磋商的不见面开标；依托苏采云系统，建设框架协议电子化系统，推动协议供货“网上办”。</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2.优化营商环境。简化交易流程，取消合同见证事项；持续完善保证金清退工作机制，高质高效继续做好保证金清退工作。</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3.推动国企集中采购全流程电子化。继续保持江阴国企制度改革全省前列优势，加快推进国企采购平台2.0版本迭代更新，搭建信息化程度更高的国企平台。</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4.强化评委现场监管，提升交易主体获得感。探索交易系统和评标系统对接，把评审专家的评价工作纳入公共资源交易诚信库建设，建立守信激励和失信惩戒机制，推动信用红名单和黑名单公示制度。</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5.探索投标资格承诺制。通过探索实施投标资格证明材料承诺制，进一步减少投标提供的材料，降低企业投标成本，切实优化营商环境。</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（三）产权交易</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1.强化宣传引导，持续推广农村产权线上交易。加强走访调研、政策宣传，进一步规范农村产权交易流程，持续推广农村产权线上交易，确保实现农村集体资产资源的保值、增值。</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2.加强学习调研，积极借鉴先进地区先进经验。学习农村产权交易先进地区（如金湖县、扬州市、昆山市）的工作经验，积极推动农村闲置住宅的使用权、经营权流转、农村集体建设用地招标等交易再上新台阶。</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3.探索先试先行，打造农村产权交易镇级试点样板。配合农业农村局做好镇级农村产权交易示范点建设工作，选择1-2个设施较齐全、分工较明确、竞价项目相对多的乡镇作为试点，整合改造实际场所，完善配套服务功能，打造镇级农村产权交易的示范标杆。</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（四）综合交易</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1.坚持业务学习，提升服务能力。定期不定期对产权交易的政策制度、操作流程、廉政风险等内容进行学习，延伸服务的深度广度。</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2.进一步规范国有产权交易行为。加强对国有产权交易行为的指导和监管，制定交易标准化文本，梳理完善综合产权交易网络竞价系统流程，进一步规范国有产权交易行为。</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3.继续拓展国有产权交易覆盖面。通过积极主动对接相关部门，外出学习借鉴先进地区工作经验，继续推动广告经营权、罚没资产、闲置资产等进平台交易。</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（五）廉政文化建设</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认真梳理交易平台突出问题，排查廉政岗位风险点，重新制定风险防控措施；浓厚廉政文化氛围，加强廉政教育，完善廉政制度，促进党建工作与廉政工作融合。</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2023</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江阴市公共资源交易中心</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单位</w:t>
      </w:r>
      <w:r>
        <w:rPr>
          <w:rFonts w:ascii="仿宋" w:hAnsi="仿宋" w:eastAsia="仿宋" w:cs="仿宋"/>
          <w:b/>
          <w:sz w:val="44"/>
        </w:rPr>
        <w:t>预算表</w:t>
      </w:r>
    </w:p>
    <w:tbl>
      <w:tblPr>
        <w:tblStyle w:val="12"/>
        <w:tblW w:w="11329" w:type="dxa"/>
        <w:jc w:val="center"/>
        <w:tblLayout w:type="fixed"/>
        <w:tblCellMar>
          <w:top w:w="0" w:type="dxa"/>
          <w:left w:w="108" w:type="dxa"/>
          <w:bottom w:w="0" w:type="dxa"/>
          <w:right w:w="108" w:type="dxa"/>
        </w:tblCellMar>
      </w:tblPr>
      <w:tblGrid>
        <w:gridCol w:w="3908"/>
        <w:gridCol w:w="1869"/>
        <w:gridCol w:w="3704"/>
        <w:gridCol w:w="67"/>
        <w:gridCol w:w="1781"/>
      </w:tblGrid>
      <w:tr>
        <w:tblPrEx>
          <w:tblCellMar>
            <w:top w:w="0" w:type="dxa"/>
            <w:left w:w="108" w:type="dxa"/>
            <w:bottom w:w="0" w:type="dxa"/>
            <w:right w:w="108" w:type="dxa"/>
          </w:tblCellMar>
        </w:tblPrEx>
        <w:trPr>
          <w:cantSplit/>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r>
      <w:tr>
        <w:tblPrEx>
          <w:tblCellMar>
            <w:top w:w="0" w:type="dxa"/>
            <w:left w:w="108" w:type="dxa"/>
            <w:bottom w:w="0" w:type="dxa"/>
            <w:right w:w="108" w:type="dxa"/>
          </w:tblCellMar>
        </w:tblPrEx>
        <w:trPr>
          <w:cantSplit/>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r>
      <w:tr>
        <w:tblPrEx>
          <w:tblCellMar>
            <w:top w:w="0" w:type="dxa"/>
            <w:left w:w="108" w:type="dxa"/>
            <w:bottom w:w="0" w:type="dxa"/>
            <w:right w:w="108" w:type="dxa"/>
          </w:tblCellMar>
        </w:tblPrEx>
        <w:trPr>
          <w:cantSplit/>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color w:val="000000"/>
                <w:sz w:val="22"/>
                <w:szCs w:val="22"/>
                <w:lang w:eastAsia="ar-SA"/>
              </w:rPr>
              <w:t>江阴市公共资源交易中心</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r>
      <w:tr>
        <w:tblPrEx>
          <w:tblCellMar>
            <w:top w:w="0" w:type="dxa"/>
            <w:left w:w="108" w:type="dxa"/>
            <w:bottom w:w="0" w:type="dxa"/>
            <w:right w:w="108" w:type="dxa"/>
          </w:tblCellMar>
        </w:tblPrEx>
        <w:trPr>
          <w:cantSplit/>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r>
      <w:tr>
        <w:tblPrEx>
          <w:tblCellMar>
            <w:top w:w="0" w:type="dxa"/>
            <w:left w:w="108" w:type="dxa"/>
            <w:bottom w:w="0" w:type="dxa"/>
            <w:right w:w="108" w:type="dxa"/>
          </w:tblCellMar>
        </w:tblPrEx>
        <w:trPr>
          <w:cantSplit/>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712.23</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448.20</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88.14</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175.89</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三十、抗疫特别国债安排的支出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cantSplit/>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712.23</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712.23</w:t>
            </w:r>
          </w:p>
        </w:tc>
      </w:tr>
      <w:tr>
        <w:tblPrEx>
          <w:tblCellMar>
            <w:top w:w="0" w:type="dxa"/>
            <w:left w:w="108" w:type="dxa"/>
            <w:bottom w:w="0" w:type="dxa"/>
            <w:right w:w="108" w:type="dxa"/>
          </w:tblCellMar>
        </w:tblPrEx>
        <w:trPr>
          <w:cantSplit/>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zh-CN"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ar-SA"/>
              </w:rPr>
            </w:pPr>
            <w:r>
              <w:rPr>
                <w:rFonts w:hint="eastAsia" w:ascii="仿宋" w:hAnsi="仿宋" w:eastAsia="仿宋" w:cs="仿宋"/>
                <w:b/>
                <w:bCs/>
                <w:color w:val="000000"/>
                <w:sz w:val="22"/>
                <w:szCs w:val="22"/>
                <w:lang w:val="en-US" w:eastAsia="zh-CN"/>
              </w:rPr>
              <w:t>712.23</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val="en-US" w:eastAsia="zh-CN"/>
              </w:rPr>
              <w:t>支出</w:t>
            </w:r>
            <w:r>
              <w:rPr>
                <w:rFonts w:hint="eastAsia" w:ascii="仿宋" w:hAnsi="仿宋" w:eastAsia="仿宋" w:cs="仿宋"/>
                <w:b/>
                <w:bCs/>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712.23</w:t>
            </w: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69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703" w:type="dxa"/>
        <w:tblInd w:w="1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cantSplit/>
          <w:trHeight w:val="0" w:hRule="atLeast"/>
        </w:trPr>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cantSplit/>
          <w:trHeight w:val="0" w:hRule="atLeast"/>
        </w:trPr>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江阴市公共资源交易中心</w:t>
            </w:r>
          </w:p>
        </w:tc>
        <w:tc>
          <w:tcPr>
            <w:tcW w:w="4715"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cantSplit/>
          <w:trHeight w:val="0" w:hRule="atLeast"/>
        </w:trPr>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715"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cantSplit/>
          <w:trHeight w:val="0"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cantSplit/>
          <w:trHeight w:val="0"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712.23</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712.23</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712.23</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cantSplit/>
          <w:trHeight w:val="0"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601005</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江阴市公共资源交易中心</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712.23</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712.23</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712.23</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r>
    </w:tbl>
    <w:p>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9" w:type="default"/>
          <w:pgSz w:w="16838" w:h="11906" w:orient="landscape"/>
          <w:pgMar w:top="720" w:right="57" w:bottom="720" w:left="5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cantSplit/>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cantSplit/>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cantSplit/>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江阴市公共资源交易中心</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cantSplit/>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cantSplit/>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ascii="仿宋" w:hAnsi="仿宋" w:eastAsia="仿宋" w:cs="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712.23</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655.43</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56.80</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448.20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391.40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56.80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其他一般公共服务支出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448.20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391.40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56.80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2019999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其他一般公共服务支出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448.20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391.40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56.80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88.14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88.14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67.59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67.59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机关事业单位基本养老保险缴费支出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45.06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45.06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2080506</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机关事业单位职业年金缴费支出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22.53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22.53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其他社会保障和就业支出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20.55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20.55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2089999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其他社会保障和就业支出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20.55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20.55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175.89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175.89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175.89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175.89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54.00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54.00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提租补贴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47.47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47.47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74.42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74.42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5"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cantSplit/>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cantSplit/>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cantSplit/>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sz w:val="22"/>
                <w:szCs w:val="22"/>
              </w:rPr>
              <w:t>江阴市公共资源交易中心</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cantSplit/>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cantSplit/>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ascii="仿宋" w:hAnsi="仿宋" w:eastAsia="仿宋" w:cs="仿宋"/>
                <w:b/>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712.23</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712.23</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712.23</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448.20</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88.14</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175.89</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（三十）抗疫特别国债安排的支出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712.23</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712.23</w:t>
            </w:r>
          </w:p>
        </w:tc>
      </w:tr>
    </w:tbl>
    <w:p>
      <w:pPr>
        <w:ind w:left="-220" w:leftChars="-100" w:firstLine="0" w:firstLineChars="0"/>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cantSplit/>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cantSplit/>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cantSplit/>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江阴市公共资源交易中心</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cantSplit/>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712.23</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655.43</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633.46</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21.97</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56.80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448.20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391.40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369.43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21.97</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56.80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其他一般公共服务支出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448.20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391.40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369.43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21.97</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56.80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2019999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其他一般公共服务支出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448.20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391.40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369.43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21.97</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56.80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88.14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88.14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88.14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67.59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67.59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67.59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机关事业单位基本养老保险缴费支出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45.06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45.06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45.06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2080506</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机关事业单位职业年金缴费支出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22.53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22.53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22.53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20.55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20.55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20.55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2089999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20.55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20.55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20.55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175.89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175.89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175.89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175.89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175.89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175.89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54.00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54.00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54.00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提租补贴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47.47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47.47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47.47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74.42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74.42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74.42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cantSplit/>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cantSplit/>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cantSplit/>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sz w:val="22"/>
                <w:szCs w:val="22"/>
              </w:rPr>
              <w:t>江阴市公共资源交易中心</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cantSplit/>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cantSplit/>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ascii="仿宋" w:hAnsi="仿宋" w:eastAsia="仿宋" w:cs="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655.43</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633.46</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21.97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623.88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623.88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101.24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101.24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130.79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130.79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57.50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180.34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180.34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45.06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45.06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22.53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22.53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17.73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17.73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医疗费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21.97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21.97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8.51</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印刷费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0.14</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6.21</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0.64</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cantSplit/>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cantSplit/>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cantSplit/>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江阴市公共资源交易中心</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cantSplit/>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712.23</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655.43</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633.46</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21.97</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56.80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448.20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391.40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369.43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21.97</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56.80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其他一般公共服务支出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448.20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391.40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369.43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21.97</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56.80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2019999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其他一般公共服务支出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448.20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391.40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369.43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21.97</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56.80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88.14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88.14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88.14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67.59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67.59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67.59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机关事业单位基本养老保险缴费支出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45.06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45.06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45.06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2080506</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机关事业单位职业年金缴费支出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22.53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22.53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22.53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20.55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20.55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20.55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2089999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20.55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20.55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20.55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175.89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175.89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175.89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175.89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175.89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175.89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54.00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54.00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54.00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提租补贴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47.47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47.47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47.47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74.42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74.42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74.42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4"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cantSplit/>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cantSplit/>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cantSplit/>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江阴市公共资源交易中心</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cantSplit/>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cantSplit/>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655.43</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633.46</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21.97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623.88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623.88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101.24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101.24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130.79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130.79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57.50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180.34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180.34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45.06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45.06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22.53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22.53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17.73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17.73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30114</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医疗费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21.97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21.97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8.51</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印刷费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0.14</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6.21</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0.64</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cantSplit/>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cantSplit/>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cantSplit/>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江阴市公共资源交易中心</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cantSplit/>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ascii="仿宋" w:hAnsi="仿宋" w:eastAsia="仿宋" w:cs="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2.84</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0.14</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0.07</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0.70</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8"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cantSplit/>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cantSplit/>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cantSplit/>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江阴市公共资源交易中心</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cantSplit/>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cantSplit/>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cantSplit/>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eastAsia="仿宋" w:cs="仿宋"/>
          <w:b/>
          <w:sz w:val="22"/>
        </w:rPr>
        <w:t>单位无政府性基金预算，也没有使用政府性基金安排的支出，故本表无数据。</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cantSplit/>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cantSplit/>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cantSplit/>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江阴市公共资源交易中心</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cantSplit/>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cantSplit/>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cantSplit/>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cantSplit/>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cantSplit/>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sz w:val="22"/>
                <w:szCs w:val="22"/>
              </w:rPr>
            </w:pP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sz w:val="22"/>
                <w:szCs w:val="22"/>
              </w:rPr>
            </w:pP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cantSplit/>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sz w:val="22"/>
                <w:szCs w:val="22"/>
              </w:rPr>
            </w:pP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sz w:val="22"/>
                <w:szCs w:val="22"/>
              </w:rPr>
            </w:pP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ascii="仿宋" w:hAnsi="仿宋" w:eastAsia="仿宋" w:cs="仿宋"/>
          <w:b/>
          <w:sz w:val="22"/>
        </w:rPr>
        <w:t>注：本单位无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cantSplit/>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cantSplit/>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cantSplit/>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江阴市公共资源交易中心</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1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90"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p>
        </w:tc>
      </w:tr>
    </w:tbl>
    <w:p>
      <w:pPr>
        <w:numPr>
          <w:ilvl w:val="0"/>
          <w:numId w:val="0"/>
        </w:numPr>
        <w:tabs>
          <w:tab w:val="left" w:pos="-440"/>
        </w:tabs>
        <w:spacing w:before="25" w:after="0"/>
        <w:ind w:left="-440" w:leftChars="0" w:right="-220" w:rightChars="-100" w:firstLine="0" w:firstLine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numPr>
          <w:ilvl w:val="0"/>
          <w:numId w:val="0"/>
        </w:numPr>
        <w:tabs>
          <w:tab w:val="left" w:pos="-440"/>
        </w:tabs>
        <w:spacing w:before="25" w:after="0"/>
        <w:ind w:left="-440" w:leftChars="0" w:firstLine="0" w:firstLineChars="0"/>
        <w:rPr>
          <w:rFonts w:hint="eastAsia" w:ascii="仿宋" w:hAnsi="仿宋" w:eastAsia="仿宋" w:cs="仿宋"/>
          <w:b/>
          <w:bCs/>
          <w:sz w:val="22"/>
          <w:szCs w:val="22"/>
        </w:rPr>
      </w:pPr>
      <w:r>
        <w:rPr>
          <w:rFonts w:hint="eastAsia" w:ascii="仿宋" w:hAnsi="仿宋" w:eastAsia="仿宋" w:cs="仿宋"/>
          <w:b/>
          <w:bCs/>
          <w:sz w:val="22"/>
          <w:szCs w:val="22"/>
          <w:lang w:val="en-US" w:eastAsia="zh-CN"/>
        </w:rPr>
        <w:t>2.</w:t>
      </w:r>
      <w:r>
        <w:rPr>
          <w:rFonts w:hint="eastAsia" w:ascii="仿宋" w:hAnsi="仿宋" w:eastAsia="仿宋" w:cs="仿宋"/>
          <w:b/>
          <w:bCs/>
          <w:sz w:val="22"/>
          <w:szCs w:val="22"/>
          <w:lang w:eastAsia="zh-CN"/>
        </w:rPr>
        <w:t>本</w:t>
      </w:r>
      <w:r>
        <w:rPr>
          <w:rFonts w:ascii="仿宋" w:hAnsi="仿宋" w:eastAsia="仿宋" w:cs="仿宋"/>
          <w:b/>
          <w:sz w:val="22"/>
        </w:rPr>
        <w:t>单位无一般公共预算机关运行经费支出，故本表无数据。</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906"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67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776"/>
        <w:gridCol w:w="1105"/>
        <w:gridCol w:w="1121"/>
        <w:gridCol w:w="1192"/>
        <w:gridCol w:w="1200"/>
        <w:gridCol w:w="15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Pr>
        <w:tc>
          <w:tcPr>
            <w:tcW w:w="15676"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cantSplit/>
        </w:trPr>
        <w:tc>
          <w:tcPr>
            <w:tcW w:w="15676"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cantSplit/>
        </w:trPr>
        <w:tc>
          <w:tcPr>
            <w:tcW w:w="9510"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spacing w:line="240" w:lineRule="auto"/>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江阴市公共资源交易中心</w:t>
            </w:r>
          </w:p>
        </w:tc>
        <w:tc>
          <w:tcPr>
            <w:tcW w:w="4618"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spacing w:line="240" w:lineRule="auto"/>
              <w:jc w:val="left"/>
              <w:rPr>
                <w:rFonts w:hint="eastAsia" w:ascii="仿宋" w:hAnsi="仿宋" w:eastAsia="仿宋" w:cs="仿宋"/>
                <w:lang w:val="en-US" w:eastAsia="zh-CN"/>
              </w:rPr>
            </w:pPr>
          </w:p>
        </w:tc>
        <w:tc>
          <w:tcPr>
            <w:tcW w:w="1548"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spacing w:line="240" w:lineRule="auto"/>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cantSplit/>
        </w:trPr>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7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618"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548"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cantSplit/>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7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548"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default" w:ascii="仿宋" w:hAnsi="仿宋" w:eastAsia="仿宋" w:cs="仿宋"/>
                <w:color w:val="auto"/>
                <w:kern w:val="0"/>
                <w:sz w:val="22"/>
                <w:szCs w:val="22"/>
                <w:lang w:val="en-US" w:eastAsia="zh-CN" w:bidi="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p>
        </w:tc>
      </w:tr>
    </w:tbl>
    <w:p>
      <w:pPr>
        <w:numPr>
          <w:ilvl w:val="0"/>
          <w:numId w:val="0"/>
        </w:numPr>
        <w:bidi w:val="0"/>
        <w:rPr>
          <w:rFonts w:hint="eastAsia" w:ascii="仿宋" w:hAnsi="仿宋" w:eastAsia="仿宋" w:cs="仿宋"/>
          <w:b/>
          <w:bCs/>
          <w:sz w:val="22"/>
          <w:szCs w:val="22"/>
        </w:rPr>
      </w:pPr>
      <w:r>
        <w:rPr>
          <w:rFonts w:hint="eastAsia" w:ascii="仿宋" w:hAnsi="仿宋" w:eastAsia="仿宋" w:cs="仿宋"/>
          <w:b/>
          <w:bCs/>
          <w:sz w:val="22"/>
          <w:szCs w:val="22"/>
        </w:rPr>
        <w:t>注：</w:t>
      </w:r>
      <w:r>
        <w:rPr>
          <w:rFonts w:hint="eastAsia" w:ascii="仿宋" w:hAnsi="仿宋" w:eastAsia="仿宋" w:cs="仿宋"/>
          <w:b/>
          <w:bCs/>
          <w:sz w:val="22"/>
          <w:szCs w:val="22"/>
          <w:lang w:eastAsia="zh-CN"/>
        </w:rPr>
        <w:t>本</w:t>
      </w:r>
      <w:r>
        <w:rPr>
          <w:rFonts w:ascii="仿宋" w:hAnsi="仿宋" w:eastAsia="仿宋" w:cs="仿宋"/>
          <w:b/>
          <w:sz w:val="22"/>
        </w:rPr>
        <w:t>单位无政府采购支出，故本表无数据。</w:t>
      </w:r>
    </w:p>
    <w:p>
      <w:pPr>
        <w:bidi w:val="0"/>
        <w:rPr>
          <w:rFonts w:hint="eastAsia" w:ascii="仿宋" w:hAnsi="仿宋" w:eastAsia="仿宋" w:cs="仿宋"/>
          <w:b/>
          <w:bCs/>
          <w:sz w:val="22"/>
          <w:szCs w:val="22"/>
        </w:rPr>
        <w:sectPr>
          <w:footerReference r:id="rId19" w:type="default"/>
          <w:pgSz w:w="16838" w:h="11906" w:orient="landscape"/>
          <w:pgMar w:top="1320" w:right="567" w:bottom="1320" w:left="56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2023</w:t>
      </w:r>
      <w:r>
        <w:rPr>
          <w:rFonts w:hint="eastAsia" w:ascii="仿宋" w:hAnsi="仿宋" w:eastAsia="仿宋" w:cs="仿宋"/>
          <w:b/>
          <w:bCs/>
          <w:sz w:val="44"/>
          <w:szCs w:val="44"/>
        </w:rPr>
        <w:t>年度</w:t>
      </w:r>
      <w:r>
        <w:rPr>
          <w:rFonts w:ascii="仿宋" w:hAnsi="仿宋" w:eastAsia="仿宋" w:cs="仿宋"/>
          <w:b/>
          <w:sz w:val="44"/>
        </w:rPr>
        <w:t>单位</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一、收支预算总体情况说明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江阴市公共资源交易中心2023年度收入、支出预算总计712.23万元，与上年相比收、支预算总计各减少158.86万元，减少18.24%。</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（一）收入预算总计712.23万元。包括：</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1．本年收入合计712.23万元。</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（1）一般公共预算拨款收入712.23万元，与上年相比减少158.86万元，减少18.24%。主要原因是人员经费减少和单位专项经费减少。</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（2）政府性基金预算拨款收入0万元，与上年预算数相同。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（3）国有资本经营预算拨款收入0万元，与上年预算数相同。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（4）财政专户管理资金收入0万元，与上年预算数相同。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（5）事业收入0万元，与上年预算数相同。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（6）事业单位经营收入0万元，与上年预算数相同。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（7）上级补助收入0万元，与上年预算数相同。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（8）附属单位上缴收入0万元，与上年预算数相同。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（9）其他收入0万元，与上年预算数相同。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2．上年结转结余为0万元。与上年预算数相同。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（二）支出预算总计712.23万元。包括：</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1．本年支出合计712.23万元。</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（1）一般公共服务支出（类）支出448.2万元，主要用于人员工资支出、公用经费和单位专项。与上年相比减少178.37万元，减少28.47%。主要原因是人员经费减少和单位专项经费减少。</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（2）社会保障和就业支出（类）支出88.14万元，主要用于养老保险、职业年金和社保。与上年相比增加10.18万元，增长13.06%。主要原因是2022年2月调入1人。</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（3）住房保障支出（类）支出175.89万元，主要用于公积金、提租补贴和购房补贴。与上年相比增加9.33万元，增长5.6%。主要原因是2022年2月调入1人。</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2．年终结转结余为0万元。</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二、收入预算情况说明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江阴市公共资源交易中心2023年收入预算合计712.23万元，包括本年收入712.23万元，上年结转结余0万元。</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本年一般公共预算收入712.23万元，占100%；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本年政府性基金预算收入0万元，占0%；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本年国有资本经营预算收入0万元，占0%；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本年财政专户管理资金0万元，占0%；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本年事业收入0万元，占0%；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本年事业单位经营收入0万元，占0%；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本年上级补助收入0万元，占0%；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本年附属单位上缴收入0万元，占0%；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本年其他收入0万元，占0%；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上年结转结余的一般公共预算收入0万元，占0%；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上年结转结余的政府性基金预算收入0万元，占0%；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上年结转结余的国有资本经营预算收入0万元，占0%；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上年结转结余的财政专户管理资金0万元，占0%；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上年结转结余的单位资金0万元，占0%。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drawing>
          <wp:inline distT="0" distB="0" distL="0" distR="0">
            <wp:extent cx="6134100" cy="3429000"/>
            <wp:effectExtent l="0" t="0" r="0" b="0"/>
            <wp:docPr id="1" name="Drawing 1"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1" descr="Generated"/>
                    <pic:cNvPicPr>
                      <a:picLocks noChangeAspect="1"/>
                    </pic:cNvPicPr>
                  </pic:nvPicPr>
                  <pic:blipFill>
                    <a:blip r:embed="rId21"/>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三、支出预算情况说明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江阴市公共资源交易中心2023年支出预算合计712.23万元，其中：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基本支出655.43万元，占92.03%；</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项目支出56.8万元，占7.97%；</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事业单位经营支出0万元，占0%；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上缴上级支出0万元，占0%；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对附属单位补助支出0万元，占0%。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drawing>
          <wp:inline distT="0" distB="0" distL="0" distR="0">
            <wp:extent cx="6134100" cy="3429000"/>
            <wp:effectExtent l="0" t="0" r="0" b="0"/>
            <wp:docPr id="2" name="Drawing 2"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awing 2" descr="Generated"/>
                    <pic:cNvPicPr>
                      <a:picLocks noChangeAspect="1"/>
                    </pic:cNvPicPr>
                  </pic:nvPicPr>
                  <pic:blipFill>
                    <a:blip r:embed="rId22"/>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四、财政拨款收支预算总体情况说明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江阴市公共资源交易中心2023年度财政拨款收、支总预算712.23万元。与上年相比，财政拨款收、支总计各减少158.86万元，减少18.24%。主要原因是人员经费减少和单位专项经费减少。</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五、财政拨款支出预算情况说明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江阴市公共资源交易中心2023年财政拨款预算支出712.23万元，占本年支出合计的100%。与上年相比，财政拨款支出减少158.86万元，减少18.24%。主要原因是人员经费减少和单位专项经费减少。</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（一）一般公共服务支出（类）</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其他一般公共服务支出（款）其他一般公共服务支出（项）支出448.2万元，与上年相比减少178.37万元，减少28.47%。主要原因是人员经费减少和单位专项经费减少。</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（二）社会保障和就业支出（类）</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1.行政事业单位养老支出（款）机关事业单位基本养老保险缴费支出（项）支出45.06万元，与上年相比增加5.25万元，增长13.19%。主要原因是2022年2月调入1人。</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2.行政事业单位养老支出（款）机关事业单位职业年金缴费支出（项）支出22.53万元，与上年相比增加2.62万元，增长13.16%。主要原因是2022年2月调入1人。</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3.其他社会保障和就业支出（款）其他社会保障和就业支出（项）支出20.55万元，与上年相比增加2.31万元，增长12.66%。主要原因是2022年2月调入1人。</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（三）住房保障支出（类）</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1.住房改革支出（款）住房公积金（项）支出54万元，与上年相比增加2.94万元，增长5.76%。主要原因是2022年2月调入1人。</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2.住房改革支出（款）提租补贴（项）支出47.47万元，与上年相比增加6.39万元，增长15.56%。主要原因是2022年2月调入1人。</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3.住房改革支出（款）购房补贴（项）支出74.42万元，与上年预算数相同。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六、财政拨款基本支出预算情况说明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江阴市公共资源交易中心2023年度财政拨款基本支出预算655.43万元，其中：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一）人员经费633.46万元。主要包括：基本工资、津贴补贴、奖金、伙食补助费、绩效工资、机关事业单位基本养老保险缴费、职业年金缴费、职工基本医疗保险缴费、其他社会保障缴费、住房公积金、医疗费、退休费、其他对个人和家庭的补助。</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（二）公用经费21.97万元。主要包括：办公费、印刷费、差旅费、会议费、培训费、公务接待费、工会经费、公务用车运行维护费、其他商品和服务支出。</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七、一般公共预算支出预算情况说明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江阴市公共资源交易中心2023年一般公共预算财政拨款支出预算712.23万元，与上年相比减少158.86万元，减少18.24%。主要原因是人员经费减少和单位专项经费减少。</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八、一般公共预算基本支出预算情况说明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江阴市公共资源交易中心2023年度一般公共预算财政拨款基本支出预算655.43万元，其中：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一）人员经费633.46万元。主要包括：基本工资、津贴补贴、奖金、伙食补助费、绩效工资、机关事业单位基本养老保险缴费、职业年金缴费、职工基本医疗保险缴费、其他社会保障缴费、住房公积金、医疗费、退休费、其他对个人和家庭的补助。</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（二）公用经费21.97万元。主要包括：办公费、印刷费、差旅费、会议费、培训费、公务接待费、工会经费、公务用车运行维护费、其他商品和服务支出。</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九、一般公共预算“三公”经费、会议费、培训费支出预算情况说明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江阴市公共资源交易中心2023年度一般公共预算拨款安排的“三公”经费预算支出中，因公出国（境）费支出0万元，占“三公”经费的0%；公务用车购置及运行维护费支出2.7万元，占“三公”经费的95.07%；公务接待费支出0.14万元，占“三公”经费的4.93%。具体情况如下：</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1．因公出国（境）费预算支出0万元，与上年预算数相同。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2．公务用车购置及运行维护费预算支出2.7万元。其中：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（1）公务用车购置预算支出0万元，与上年预算数相同。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（2）公务用车运行维护费预算支出2.7万元，与上年预算数相同。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3．公务接待费预算支出0.14万元，比上年预算减少0.06万元，主要原因是根据实际情况接待。</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江阴市公共资源交易中心2023年度一般公共预算拨款安排的会议费预算支出0.07万元，比上年预算减少0.03万元，主要原因是根据实际情况安排会议。</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江阴市公共资源交易中心2023年度一般公共预算拨款安排的培训费预算支出0.7万元，比上年预算减少0.3万元，主要原因是根据实际情况组织培训。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十、政府性基金预算支出预算情况说明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江阴市公共资源交易中心2023年政府性基金支出预算支出0万元。与上年预算数相同。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十一、国有资本经营预算支出预算情况说明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江阴市公共资源交易中心2023年国有资本经营预算支出0万元。与上年预算数相同。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十二、一般公共预算机关运行经费支出预算情况说明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2023年本单位一般公共预算机关运行经费预算支出0万元。与上年预算数相同。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十三、政府采购支出预算情况说明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2023年度政府采购支出预算总额0万元，其中：拟采购货物支出0万元、拟采购工程支出0万元、拟采购服务支出0万元。</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十四、国有资产占用情况说明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单位共有车辆1辆，其中，副部（省）级及以上领导用车0辆、主要领导干部用车0辆、机要通信用车0辆、应急保障用车0辆、执法执勤用车0辆、特种专业技术用车0辆、离退休干部用车0辆，其他用车1辆；单价50万元（含）以上的通用设备0台（套），单价100万元（含）以上的专用设备0台（套）。</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十五、预算绩效目标设置情况说明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2023年度，本单位整体支出纳入绩效目标管理，涉及财政性资金712.23万元；本单位共2个项目纳入绩效目标管理，涉及财政性资金合计56.8万元，占财政性资金(基本支出除外)总额的比例为100%。</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eastAsia="仿宋" w:cs="仿宋"/>
          <w:b/>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eastAsia="仿宋" w:cs="仿宋"/>
          <w:b/>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eastAsia="仿宋" w:cs="仿宋"/>
          <w:b/>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eastAsia="仿宋" w:cs="仿宋"/>
          <w:b/>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eastAsia="仿宋" w:cs="仿宋"/>
          <w:b/>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eastAsia="仿宋" w:cs="仿宋"/>
          <w:b/>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eastAsia="仿宋" w:cs="仿宋"/>
          <w:b/>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八、一般公共服务支出(类)其他一般公共服务支出(款)其他一般公共服务支出(项)</w:t>
      </w:r>
      <w:r>
        <w:rPr>
          <w:rFonts w:ascii="仿宋" w:hAnsi="仿宋" w:eastAsia="仿宋" w:cs="仿宋"/>
          <w:b/>
        </w:rPr>
        <w:t>：</w:t>
      </w:r>
      <w:r>
        <w:rPr>
          <w:rFonts w:hint="eastAsia" w:ascii="仿宋" w:hAnsi="仿宋" w:eastAsia="仿宋" w:cs="仿宋"/>
        </w:rPr>
        <w:t>反映除上述项目以外的其他一般公共服务支出。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九、社会保障和就业支出(类)行政事业单位养老支出(款)机关事业单位基本养老保险缴费支出(项)</w:t>
      </w:r>
      <w:r>
        <w:rPr>
          <w:rFonts w:ascii="仿宋" w:hAnsi="仿宋" w:eastAsia="仿宋" w:cs="仿宋"/>
          <w:b/>
        </w:rPr>
        <w:t>：</w:t>
      </w:r>
      <w:r>
        <w:rPr>
          <w:rFonts w:hint="eastAsia" w:ascii="仿宋" w:hAnsi="仿宋" w:eastAsia="仿宋" w:cs="仿宋"/>
        </w:rPr>
        <w:t>反映机关事业单位实施养老保险制度由单位缴纳的基本养老保险费支出。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十、社会保障和就业支出(类)行政事业单位养老支出(款)机关事业单位职业年金缴费支出(项)</w:t>
      </w:r>
      <w:r>
        <w:rPr>
          <w:rFonts w:ascii="仿宋" w:hAnsi="仿宋" w:eastAsia="仿宋" w:cs="仿宋"/>
          <w:b/>
        </w:rPr>
        <w:t>：</w:t>
      </w:r>
      <w:r>
        <w:rPr>
          <w:rFonts w:hint="eastAsia" w:ascii="仿宋" w:hAnsi="仿宋" w:eastAsia="仿宋" w:cs="仿宋"/>
        </w:rPr>
        <w:t>反映机关事业单位实施养老保险制度由单位实际缴纳的职业年金支出。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十一、社会保障和就业支出(类)其他社会保障和就业支出(款)其他社会保障和就业支出(项)</w:t>
      </w:r>
      <w:r>
        <w:rPr>
          <w:rFonts w:ascii="仿宋" w:hAnsi="仿宋" w:eastAsia="仿宋" w:cs="仿宋"/>
          <w:b/>
        </w:rPr>
        <w:t>：</w:t>
      </w:r>
      <w:r>
        <w:rPr>
          <w:rFonts w:hint="eastAsia" w:ascii="仿宋" w:hAnsi="仿宋" w:eastAsia="仿宋" w:cs="仿宋"/>
        </w:rPr>
        <w:t>反映除上述项目以外其他用于社会保障和就业方面的支出。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十二、住房保障支出(类)住房改革支出(款)住房公积金(项)</w:t>
      </w:r>
      <w:r>
        <w:rPr>
          <w:rFonts w:ascii="仿宋" w:hAnsi="仿宋" w:eastAsia="仿宋" w:cs="仿宋"/>
          <w:b/>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十三、住房保障支出(类)住房改革支出(款)提租补贴(项)</w:t>
      </w:r>
      <w:r>
        <w:rPr>
          <w:rFonts w:ascii="仿宋" w:hAnsi="仿宋" w:eastAsia="仿宋" w:cs="仿宋"/>
          <w:b/>
        </w:rPr>
        <w:t>：</w:t>
      </w:r>
      <w:r>
        <w:rPr>
          <w:rFonts w:hint="eastAsia" w:ascii="仿宋" w:hAnsi="仿宋" w:eastAsia="仿宋" w:cs="仿宋"/>
        </w:rPr>
        <w:t>反映按房改政策规定的标准，行政事业单位向职工（含离退休人员）发放的租金补贴。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十四、住房保障支出(类)住房改革支出(款)购房补贴(项)</w:t>
      </w:r>
      <w:r>
        <w:rPr>
          <w:rFonts w:ascii="仿宋" w:hAnsi="仿宋" w:eastAsia="仿宋" w:cs="仿宋"/>
          <w:b/>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822"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roman"/>
    <w:pitch w:val="default"/>
    <w:sig w:usb0="FFFFFFFF" w:usb1="E9FFFFFF" w:usb2="0000003F" w:usb3="00000000" w:csb0="603F01FF" w:csb1="FFFF0000"/>
  </w:font>
  <w:font w:name="Liberation Sans">
    <w:altName w:val="宋体"/>
    <w:panose1 w:val="020B0604020202020204"/>
    <w:charset w:val="86"/>
    <w:family w:val="roman"/>
    <w:pitch w:val="default"/>
    <w:sig w:usb0="00000000" w:usb1="00000000" w:usb2="00000021" w:usb3="00000000" w:csb0="600001BF" w:csb1="DFF70000"/>
  </w:font>
  <w:font w:name="Liberation Mono">
    <w:altName w:val="宋体"/>
    <w:panose1 w:val="02070409020205020404"/>
    <w:charset w:val="86"/>
    <w:family w:val="roman"/>
    <w:pitch w:val="default"/>
    <w:sig w:usb0="00000000" w:usb1="00000000" w:usb2="00000001" w:usb3="00000000" w:csb0="600001BF" w:csb1="DFF7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江阴市公共资源交易中心</w:t>
    </w:r>
    <w:r>
      <w:t>2023年度单位预算公开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jQ0MTI4NWZmN2Y4NDZjYzRjNDZjNWU0NmUxMzM5MzEifQ=="/>
  </w:docVars>
  <w:rsids>
    <w:rsidRoot w:val="00000000"/>
    <w:rsid w:val="00064984"/>
    <w:rsid w:val="00071288"/>
    <w:rsid w:val="00071789"/>
    <w:rsid w:val="000F12AB"/>
    <w:rsid w:val="001C31F9"/>
    <w:rsid w:val="00407CA7"/>
    <w:rsid w:val="00413AD8"/>
    <w:rsid w:val="004460AE"/>
    <w:rsid w:val="005F037B"/>
    <w:rsid w:val="00671ED7"/>
    <w:rsid w:val="00672164"/>
    <w:rsid w:val="00867423"/>
    <w:rsid w:val="008B5B05"/>
    <w:rsid w:val="00925913"/>
    <w:rsid w:val="009965EA"/>
    <w:rsid w:val="00A61D7A"/>
    <w:rsid w:val="00A6752E"/>
    <w:rsid w:val="00BD7F33"/>
    <w:rsid w:val="00C15920"/>
    <w:rsid w:val="00C35C3A"/>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A7C48"/>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931509"/>
    <w:rsid w:val="08A333FC"/>
    <w:rsid w:val="08B16290"/>
    <w:rsid w:val="08BD1AAD"/>
    <w:rsid w:val="08BE3663"/>
    <w:rsid w:val="08D342E7"/>
    <w:rsid w:val="08E134F8"/>
    <w:rsid w:val="08FC0605"/>
    <w:rsid w:val="08FE52B0"/>
    <w:rsid w:val="090F5FB7"/>
    <w:rsid w:val="09165D85"/>
    <w:rsid w:val="092660BA"/>
    <w:rsid w:val="0932487E"/>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6747AF"/>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15F97"/>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405BCB"/>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1037A82"/>
    <w:rsid w:val="1106739D"/>
    <w:rsid w:val="11082369"/>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290F74"/>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61AB0"/>
    <w:rsid w:val="167F1A6B"/>
    <w:rsid w:val="16971C37"/>
    <w:rsid w:val="16BC7A59"/>
    <w:rsid w:val="16BE14E7"/>
    <w:rsid w:val="16BE34FA"/>
    <w:rsid w:val="16E22E32"/>
    <w:rsid w:val="16ED632E"/>
    <w:rsid w:val="170E72F7"/>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936F0"/>
    <w:rsid w:val="1D0E4D1B"/>
    <w:rsid w:val="1D0F64B4"/>
    <w:rsid w:val="1D103F06"/>
    <w:rsid w:val="1D201166"/>
    <w:rsid w:val="1D3214B5"/>
    <w:rsid w:val="1D383DB3"/>
    <w:rsid w:val="1D387361"/>
    <w:rsid w:val="1D387D1B"/>
    <w:rsid w:val="1D552DD9"/>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D2622D"/>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37CF"/>
    <w:rsid w:val="1F724421"/>
    <w:rsid w:val="1F8122F8"/>
    <w:rsid w:val="1F8B39C7"/>
    <w:rsid w:val="1F8C1569"/>
    <w:rsid w:val="1FA17CC2"/>
    <w:rsid w:val="1FB1012B"/>
    <w:rsid w:val="1FD5645B"/>
    <w:rsid w:val="1FD866E0"/>
    <w:rsid w:val="1FE16BA6"/>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650D4A"/>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2B2707"/>
    <w:rsid w:val="24361C71"/>
    <w:rsid w:val="2443382C"/>
    <w:rsid w:val="244706D0"/>
    <w:rsid w:val="244E4876"/>
    <w:rsid w:val="2455798C"/>
    <w:rsid w:val="246E4FE1"/>
    <w:rsid w:val="247771B1"/>
    <w:rsid w:val="24797436"/>
    <w:rsid w:val="24893698"/>
    <w:rsid w:val="248A0DA1"/>
    <w:rsid w:val="248B0DC9"/>
    <w:rsid w:val="24EF440E"/>
    <w:rsid w:val="25175618"/>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36C3A"/>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269B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660CEE"/>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75736"/>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9B06AC"/>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0C25"/>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EA0FD5"/>
    <w:rsid w:val="35F036ED"/>
    <w:rsid w:val="35F11C61"/>
    <w:rsid w:val="35F50D12"/>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A04C6E"/>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55B41"/>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4C3E35"/>
    <w:rsid w:val="3E535C24"/>
    <w:rsid w:val="3E570308"/>
    <w:rsid w:val="3E600BB4"/>
    <w:rsid w:val="3E8A2129"/>
    <w:rsid w:val="3E8C3990"/>
    <w:rsid w:val="3E917B3F"/>
    <w:rsid w:val="3EB37670"/>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2D2B6A"/>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23DA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42A3E"/>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5E4F5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52F0C"/>
    <w:rsid w:val="4E0911A0"/>
    <w:rsid w:val="4E0D72D8"/>
    <w:rsid w:val="4E1F24C4"/>
    <w:rsid w:val="4E2F0959"/>
    <w:rsid w:val="4E383ED6"/>
    <w:rsid w:val="4E5172B9"/>
    <w:rsid w:val="4E560D60"/>
    <w:rsid w:val="4E564593"/>
    <w:rsid w:val="4E5A2684"/>
    <w:rsid w:val="4E66521C"/>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0E4A13"/>
    <w:rsid w:val="4F1E4B12"/>
    <w:rsid w:val="4F301FB1"/>
    <w:rsid w:val="4F3A2B02"/>
    <w:rsid w:val="4F4F7329"/>
    <w:rsid w:val="4F5260B5"/>
    <w:rsid w:val="4F560168"/>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21CB3"/>
    <w:rsid w:val="50E74C38"/>
    <w:rsid w:val="50E76F7B"/>
    <w:rsid w:val="50EB303A"/>
    <w:rsid w:val="51025571"/>
    <w:rsid w:val="510819A0"/>
    <w:rsid w:val="510C31D4"/>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5837C3"/>
    <w:rsid w:val="5371534A"/>
    <w:rsid w:val="53720C63"/>
    <w:rsid w:val="53760DD8"/>
    <w:rsid w:val="537700D3"/>
    <w:rsid w:val="53811681"/>
    <w:rsid w:val="538A520F"/>
    <w:rsid w:val="538C6CFB"/>
    <w:rsid w:val="53933E3F"/>
    <w:rsid w:val="53A45110"/>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A48F8"/>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D9"/>
    <w:rsid w:val="56CF2CF8"/>
    <w:rsid w:val="56D50BC3"/>
    <w:rsid w:val="56E34EAC"/>
    <w:rsid w:val="570203D1"/>
    <w:rsid w:val="571159E3"/>
    <w:rsid w:val="571D3ABE"/>
    <w:rsid w:val="571F6B78"/>
    <w:rsid w:val="57477BC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D261A6"/>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564CD"/>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30A1C"/>
    <w:rsid w:val="5DAB4981"/>
    <w:rsid w:val="5DAF2ED6"/>
    <w:rsid w:val="5DCD5EDE"/>
    <w:rsid w:val="5DDD01B0"/>
    <w:rsid w:val="5DE31BF8"/>
    <w:rsid w:val="5DEE4FE1"/>
    <w:rsid w:val="5DEE7E4B"/>
    <w:rsid w:val="5DF434DB"/>
    <w:rsid w:val="5E040F9B"/>
    <w:rsid w:val="5E163DAD"/>
    <w:rsid w:val="5E18199F"/>
    <w:rsid w:val="5E276BBA"/>
    <w:rsid w:val="5E4A3124"/>
    <w:rsid w:val="5E4A34BA"/>
    <w:rsid w:val="5E525F9E"/>
    <w:rsid w:val="5E555E36"/>
    <w:rsid w:val="5E572B7B"/>
    <w:rsid w:val="5E715DE0"/>
    <w:rsid w:val="5E817F26"/>
    <w:rsid w:val="5E993BCD"/>
    <w:rsid w:val="5EA248D0"/>
    <w:rsid w:val="5EC875D4"/>
    <w:rsid w:val="5ED929BD"/>
    <w:rsid w:val="5EDD61AF"/>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B4C28"/>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3FA6EBC"/>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CD22CB"/>
    <w:rsid w:val="64D17A33"/>
    <w:rsid w:val="64DB0DE6"/>
    <w:rsid w:val="65192F42"/>
    <w:rsid w:val="651C413F"/>
    <w:rsid w:val="651F176C"/>
    <w:rsid w:val="652354FE"/>
    <w:rsid w:val="65243799"/>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A57E71"/>
    <w:rsid w:val="66A76320"/>
    <w:rsid w:val="66BD4460"/>
    <w:rsid w:val="66BD4681"/>
    <w:rsid w:val="66D37DBF"/>
    <w:rsid w:val="66D47A94"/>
    <w:rsid w:val="66D82ABA"/>
    <w:rsid w:val="66E4759D"/>
    <w:rsid w:val="66E75B92"/>
    <w:rsid w:val="67080774"/>
    <w:rsid w:val="67126F49"/>
    <w:rsid w:val="67195D19"/>
    <w:rsid w:val="672361E3"/>
    <w:rsid w:val="673212A8"/>
    <w:rsid w:val="67485617"/>
    <w:rsid w:val="674B4F4A"/>
    <w:rsid w:val="67586F6C"/>
    <w:rsid w:val="67625F8A"/>
    <w:rsid w:val="676A3DA6"/>
    <w:rsid w:val="67773A51"/>
    <w:rsid w:val="67835FB2"/>
    <w:rsid w:val="679805D8"/>
    <w:rsid w:val="67A46064"/>
    <w:rsid w:val="67A46EF4"/>
    <w:rsid w:val="67B16006"/>
    <w:rsid w:val="67BA07B7"/>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017C6D"/>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95A80"/>
    <w:rsid w:val="6F7E2770"/>
    <w:rsid w:val="6F8776A7"/>
    <w:rsid w:val="6F957D21"/>
    <w:rsid w:val="6F9A1B5B"/>
    <w:rsid w:val="6FA57C2A"/>
    <w:rsid w:val="6FC22E70"/>
    <w:rsid w:val="6FD175F7"/>
    <w:rsid w:val="6FD95378"/>
    <w:rsid w:val="6FF47B92"/>
    <w:rsid w:val="6FFD1488"/>
    <w:rsid w:val="70027824"/>
    <w:rsid w:val="700B44C9"/>
    <w:rsid w:val="70173431"/>
    <w:rsid w:val="703C1CAA"/>
    <w:rsid w:val="703E1108"/>
    <w:rsid w:val="70460ECD"/>
    <w:rsid w:val="704B7EBD"/>
    <w:rsid w:val="7051053C"/>
    <w:rsid w:val="707F7FC1"/>
    <w:rsid w:val="70830694"/>
    <w:rsid w:val="7092075C"/>
    <w:rsid w:val="70A16710"/>
    <w:rsid w:val="70AF49AD"/>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56131D"/>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0E161B"/>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306EF8"/>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83576"/>
    <w:rsid w:val="7D9B3D45"/>
    <w:rsid w:val="7D9C553A"/>
    <w:rsid w:val="7DBB346B"/>
    <w:rsid w:val="7DD0508B"/>
    <w:rsid w:val="7DE4119D"/>
    <w:rsid w:val="7DEE5B58"/>
    <w:rsid w:val="7DEF4E30"/>
    <w:rsid w:val="7E0B1390"/>
    <w:rsid w:val="7E2B13AE"/>
    <w:rsid w:val="7E676A56"/>
    <w:rsid w:val="7E690FF4"/>
    <w:rsid w:val="7E947A7E"/>
    <w:rsid w:val="7EA36676"/>
    <w:rsid w:val="7ED03245"/>
    <w:rsid w:val="7ED25E9B"/>
    <w:rsid w:val="7ED37D6E"/>
    <w:rsid w:val="7F0A2251"/>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autoRedefine/>
    <w:qFormat/>
    <w:uiPriority w:val="1"/>
    <w:pPr>
      <w:ind w:left="-40" w:firstLine="0"/>
      <w:outlineLvl w:val="0"/>
    </w:pPr>
    <w:rPr>
      <w:sz w:val="52"/>
      <w:szCs w:val="52"/>
    </w:rPr>
  </w:style>
  <w:style w:type="paragraph" w:styleId="3">
    <w:name w:val="heading 2"/>
    <w:basedOn w:val="1"/>
    <w:next w:val="1"/>
    <w:autoRedefine/>
    <w:qFormat/>
    <w:uiPriority w:val="1"/>
    <w:pPr>
      <w:ind w:right="18" w:firstLine="0"/>
      <w:jc w:val="center"/>
      <w:outlineLvl w:val="1"/>
    </w:pPr>
    <w:rPr>
      <w:sz w:val="44"/>
      <w:szCs w:val="44"/>
    </w:rPr>
  </w:style>
  <w:style w:type="paragraph" w:styleId="4">
    <w:name w:val="heading 3"/>
    <w:basedOn w:val="1"/>
    <w:next w:val="1"/>
    <w:autoRedefine/>
    <w:qFormat/>
    <w:uiPriority w:val="1"/>
    <w:pPr>
      <w:ind w:left="1" w:firstLine="0"/>
      <w:jc w:val="center"/>
      <w:outlineLvl w:val="2"/>
    </w:pPr>
    <w:rPr>
      <w:sz w:val="40"/>
      <w:szCs w:val="40"/>
    </w:rPr>
  </w:style>
  <w:style w:type="paragraph" w:styleId="5">
    <w:name w:val="heading 4"/>
    <w:basedOn w:val="1"/>
    <w:next w:val="1"/>
    <w:autoRedefine/>
    <w:qFormat/>
    <w:uiPriority w:val="1"/>
    <w:pPr>
      <w:jc w:val="center"/>
      <w:outlineLvl w:val="3"/>
    </w:pPr>
    <w:rPr>
      <w:sz w:val="36"/>
      <w:szCs w:val="36"/>
    </w:rPr>
  </w:style>
  <w:style w:type="paragraph" w:styleId="6">
    <w:name w:val="heading 5"/>
    <w:basedOn w:val="1"/>
    <w:next w:val="1"/>
    <w:autoRedefine/>
    <w:qFormat/>
    <w:uiPriority w:val="1"/>
    <w:pPr>
      <w:ind w:left="112" w:firstLine="0"/>
      <w:outlineLvl w:val="4"/>
    </w:pPr>
    <w:rPr>
      <w:sz w:val="33"/>
      <w:szCs w:val="33"/>
    </w:rPr>
  </w:style>
  <w:style w:type="character" w:default="1" w:styleId="14">
    <w:name w:val="Default Paragraph Font"/>
    <w:autoRedefine/>
    <w:unhideWhenUsed/>
    <w:qFormat/>
    <w:uiPriority w:val="1"/>
  </w:style>
  <w:style w:type="table" w:default="1" w:styleId="12">
    <w:name w:val="Normal Table"/>
    <w:autoRedefine/>
    <w:unhideWhenUsed/>
    <w:qFormat/>
    <w:uiPriority w:val="99"/>
    <w:tblPr>
      <w:tblCellMar>
        <w:top w:w="0" w:type="dxa"/>
        <w:left w:w="108" w:type="dxa"/>
        <w:bottom w:w="0" w:type="dxa"/>
        <w:right w:w="108" w:type="dxa"/>
      </w:tblCellMar>
    </w:tblPr>
  </w:style>
  <w:style w:type="paragraph" w:styleId="7">
    <w:name w:val="caption"/>
    <w:basedOn w:val="1"/>
    <w:next w:val="1"/>
    <w:autoRedefine/>
    <w:qFormat/>
    <w:uiPriority w:val="0"/>
    <w:pPr>
      <w:suppressLineNumbers/>
      <w:spacing w:before="120" w:after="120"/>
    </w:pPr>
    <w:rPr>
      <w:i/>
      <w:iCs/>
      <w:sz w:val="24"/>
      <w:szCs w:val="24"/>
    </w:rPr>
  </w:style>
  <w:style w:type="paragraph" w:styleId="8">
    <w:name w:val="Body Text"/>
    <w:basedOn w:val="1"/>
    <w:autoRedefine/>
    <w:qFormat/>
    <w:uiPriority w:val="1"/>
    <w:rPr>
      <w:sz w:val="32"/>
      <w:szCs w:val="32"/>
    </w:rPr>
  </w:style>
  <w:style w:type="paragraph" w:styleId="9">
    <w:name w:val="footer"/>
    <w:basedOn w:val="1"/>
    <w:autoRedefine/>
    <w:qFormat/>
    <w:uiPriority w:val="0"/>
    <w:pPr>
      <w:tabs>
        <w:tab w:val="center" w:pos="4153"/>
        <w:tab w:val="right" w:pos="8306"/>
      </w:tabs>
      <w:snapToGrid w:val="0"/>
    </w:pPr>
    <w:rPr>
      <w:sz w:val="18"/>
      <w:szCs w:val="18"/>
    </w:rPr>
  </w:style>
  <w:style w:type="paragraph" w:styleId="10">
    <w:name w:val="header"/>
    <w:basedOn w:val="1"/>
    <w:autoRedefine/>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autoRedefine/>
    <w:qFormat/>
    <w:uiPriority w:val="0"/>
  </w:style>
  <w:style w:type="table" w:styleId="13">
    <w:name w:val="Table Grid"/>
    <w:basedOn w:val="1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autoRedefine/>
    <w:qFormat/>
    <w:uiPriority w:val="0"/>
  </w:style>
  <w:style w:type="character" w:customStyle="1" w:styleId="16">
    <w:name w:val="页眉 字符"/>
    <w:basedOn w:val="14"/>
    <w:autoRedefine/>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autoRedefine/>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autoRedefine/>
    <w:qFormat/>
    <w:uiPriority w:val="0"/>
    <w:pPr>
      <w:keepNext/>
      <w:spacing w:before="240" w:after="120"/>
    </w:pPr>
    <w:rPr>
      <w:rFonts w:ascii="Liberation Sans" w:hAnsi="Liberation Sans"/>
      <w:sz w:val="28"/>
      <w:szCs w:val="28"/>
    </w:rPr>
  </w:style>
  <w:style w:type="paragraph" w:customStyle="1" w:styleId="19">
    <w:name w:val="索引"/>
    <w:basedOn w:val="1"/>
    <w:autoRedefine/>
    <w:qFormat/>
    <w:uiPriority w:val="0"/>
    <w:pPr>
      <w:suppressLineNumbers/>
    </w:pPr>
  </w:style>
  <w:style w:type="paragraph" w:customStyle="1" w:styleId="20">
    <w:name w:val="页眉与页脚"/>
    <w:basedOn w:val="1"/>
    <w:autoRedefine/>
    <w:qFormat/>
    <w:uiPriority w:val="0"/>
  </w:style>
  <w:style w:type="paragraph" w:customStyle="1" w:styleId="21">
    <w:name w:val="List Paragraph"/>
    <w:basedOn w:val="1"/>
    <w:autoRedefine/>
    <w:qFormat/>
    <w:uiPriority w:val="1"/>
    <w:pPr>
      <w:ind w:left="2039" w:hanging="782"/>
    </w:pPr>
  </w:style>
  <w:style w:type="paragraph" w:customStyle="1" w:styleId="22">
    <w:name w:val="Table Paragraph"/>
    <w:basedOn w:val="1"/>
    <w:autoRedefine/>
    <w:qFormat/>
    <w:uiPriority w:val="1"/>
    <w:rPr>
      <w:rFonts w:ascii="宋体" w:hAnsi="宋体" w:eastAsia="宋体" w:cs="宋体"/>
    </w:rPr>
  </w:style>
  <w:style w:type="paragraph" w:customStyle="1" w:styleId="23">
    <w:name w:val="表格内容"/>
    <w:basedOn w:val="1"/>
    <w:autoRedefine/>
    <w:qFormat/>
    <w:uiPriority w:val="0"/>
    <w:pPr>
      <w:suppressLineNumbers/>
    </w:pPr>
  </w:style>
  <w:style w:type="paragraph" w:customStyle="1" w:styleId="24">
    <w:name w:val="表格标题"/>
    <w:basedOn w:val="23"/>
    <w:autoRedefine/>
    <w:qFormat/>
    <w:uiPriority w:val="0"/>
    <w:pPr>
      <w:jc w:val="center"/>
    </w:pPr>
    <w:rPr>
      <w:b/>
      <w:bCs/>
    </w:rPr>
  </w:style>
  <w:style w:type="paragraph" w:customStyle="1" w:styleId="25">
    <w:name w:val="预格式化的文本"/>
    <w:basedOn w:val="1"/>
    <w:autoRedefine/>
    <w:qFormat/>
    <w:uiPriority w:val="0"/>
    <w:rPr>
      <w:rFonts w:ascii="Liberation Mono" w:hAnsi="Liberation Mono" w:eastAsia="新宋体" w:cs="Liberation Mono"/>
      <w:sz w:val="20"/>
      <w:szCs w:val="20"/>
    </w:rPr>
  </w:style>
  <w:style w:type="table" w:customStyle="1" w:styleId="26">
    <w:name w:val="Table Normal"/>
    <w:autoRedefine/>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customXml" Target="../customXml/item1.xml"/><Relationship Id="rId22" Type="http://schemas.openxmlformats.org/officeDocument/2006/relationships/image" Target="media/image2.png"/><Relationship Id="rId21" Type="http://schemas.openxmlformats.org/officeDocument/2006/relationships/image" Target="media/image1.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1913</Words>
  <Characters>6541</Characters>
  <Paragraphs>501</Paragraphs>
  <TotalTime>0</TotalTime>
  <ScaleCrop>false</ScaleCrop>
  <LinksUpToDate>false</LinksUpToDate>
  <CharactersWithSpaces>6558</CharactersWithSpaces>
  <Application>WPS Office_12.1.0.16120_F1E327BC-269C-435d-A152-05C5408002CA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2021-04-16T03:22:00Z</dcterms:created>
  <dc:creator>陈长军(本处室套红)</dc:creator>
  <cp:lastModifiedBy>符禾</cp:lastModifiedBy>
  <dcterms:modified xsi:type="dcterms:W3CDTF">2024-01-04T01:28:53Z</dcterms:modified>
  <dc:title>部门预算公开</dc:title>
  <cp:revision>175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2052-12.1.0.16120</vt:lpwstr>
  </property>
  <property fmtid="{D5CDD505-2E9C-101B-9397-08002B2CF9AE}" pid="6" name="LastSaved">
    <vt:filetime>2021-04-15T00:00:00Z</vt:filetime>
  </property>
</Properties>
</file>